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9579" w14:textId="45561E68" w:rsidR="00A02ADB" w:rsidRDefault="009C159E" w:rsidP="00A02ADB">
      <w:pPr>
        <w:pStyle w:val="Heading1"/>
      </w:pPr>
      <w:bookmarkStart w:id="0" w:name="_Toc15068192"/>
      <w:bookmarkStart w:id="1" w:name="_Toc17362699"/>
      <w:bookmarkStart w:id="2" w:name="_Toc17362847"/>
      <w:bookmarkStart w:id="3" w:name="_Toc17362922"/>
      <w:bookmarkStart w:id="4" w:name="_Toc18573821"/>
      <w:bookmarkStart w:id="5" w:name="_Toc19300773"/>
      <w:bookmarkStart w:id="6" w:name="_Hlk15456359"/>
      <w:bookmarkStart w:id="7" w:name="_GoBack"/>
      <w:bookmarkEnd w:id="7"/>
      <w:r>
        <w:t xml:space="preserve">Left out of Learning: </w:t>
      </w:r>
      <w:r w:rsidR="0065047B">
        <w:t>L</w:t>
      </w:r>
      <w:r w:rsidR="00A02ADB" w:rsidRPr="004000C2">
        <w:t>ocal authority education provision for children and young people with vi</w:t>
      </w:r>
      <w:r w:rsidR="00A02ADB">
        <w:t>sion impairment in England: 2019</w:t>
      </w:r>
      <w:bookmarkEnd w:id="0"/>
      <w:bookmarkEnd w:id="1"/>
      <w:bookmarkEnd w:id="2"/>
      <w:bookmarkEnd w:id="3"/>
      <w:bookmarkEnd w:id="4"/>
      <w:bookmarkEnd w:id="5"/>
    </w:p>
    <w:bookmarkEnd w:id="6"/>
    <w:p w14:paraId="64EB18F9" w14:textId="7EB2A9DC" w:rsidR="00A02ADB" w:rsidRDefault="00B87B2F" w:rsidP="00A02ADB">
      <w:r>
        <w:t>October</w:t>
      </w:r>
      <w:r w:rsidR="00A02ADB">
        <w:t xml:space="preserve"> 2019</w:t>
      </w:r>
    </w:p>
    <w:p w14:paraId="2EEF8220" w14:textId="77777777" w:rsidR="00F84898" w:rsidRDefault="00F84898" w:rsidP="00F84898"/>
    <w:p w14:paraId="525CCE82" w14:textId="77777777" w:rsidR="00075ADB" w:rsidRDefault="11114CE1" w:rsidP="00F84898">
      <w:r>
        <w:t xml:space="preserve">Authors: Emma Edwards and Tom Crawley. </w:t>
      </w:r>
    </w:p>
    <w:p w14:paraId="46546262" w14:textId="4DDDD5B8" w:rsidR="00F84898" w:rsidRDefault="11114CE1" w:rsidP="00F84898">
      <w:r>
        <w:t>With contributions from: Caireen Sutherland; Sarah Holton; Chrissie Pepper</w:t>
      </w:r>
      <w:r w:rsidR="00863731">
        <w:t>;</w:t>
      </w:r>
      <w:r>
        <w:t xml:space="preserve"> Michael Wordingham</w:t>
      </w:r>
      <w:r w:rsidR="00863731">
        <w:t>;</w:t>
      </w:r>
      <w:r>
        <w:t xml:space="preserve"> and Isabel Stanley.</w:t>
      </w:r>
    </w:p>
    <w:p w14:paraId="039BCD60" w14:textId="77777777" w:rsidR="00366EEA" w:rsidRDefault="00366EEA" w:rsidP="00A02ADB"/>
    <w:p w14:paraId="5A510C4F" w14:textId="77777777" w:rsidR="00E843D5" w:rsidRDefault="00B366EC" w:rsidP="00494C68">
      <w:pPr>
        <w:pStyle w:val="Heading1"/>
        <w:rPr>
          <w:noProof/>
        </w:rPr>
      </w:pPr>
      <w:bookmarkStart w:id="8" w:name="_Toc15068193"/>
      <w:bookmarkStart w:id="9" w:name="_Toc17362700"/>
      <w:bookmarkStart w:id="10" w:name="_Toc17362848"/>
      <w:bookmarkStart w:id="11" w:name="_Toc17362923"/>
      <w:bookmarkStart w:id="12" w:name="_Toc18573822"/>
      <w:bookmarkStart w:id="13" w:name="_Toc19300774"/>
      <w:r>
        <w:t>Contents</w:t>
      </w:r>
      <w:bookmarkEnd w:id="8"/>
      <w:bookmarkEnd w:id="9"/>
      <w:bookmarkEnd w:id="10"/>
      <w:bookmarkEnd w:id="11"/>
      <w:bookmarkEnd w:id="12"/>
      <w:bookmarkEnd w:id="13"/>
      <w:r w:rsidR="00494C68">
        <w:rPr>
          <w:sz w:val="36"/>
        </w:rPr>
        <w:fldChar w:fldCharType="begin"/>
      </w:r>
      <w:r w:rsidR="00494C68">
        <w:rPr>
          <w:sz w:val="36"/>
        </w:rPr>
        <w:instrText xml:space="preserve"> TOC \o "1-2" \h \z \u </w:instrText>
      </w:r>
      <w:r w:rsidR="00494C68">
        <w:rPr>
          <w:sz w:val="36"/>
        </w:rPr>
        <w:fldChar w:fldCharType="separate"/>
      </w:r>
    </w:p>
    <w:p w14:paraId="7B146341" w14:textId="0FA25C21" w:rsidR="00E843D5" w:rsidRDefault="00E602F4">
      <w:pPr>
        <w:pStyle w:val="TOC1"/>
        <w:rPr>
          <w:rFonts w:asciiTheme="minorHAnsi" w:eastAsiaTheme="minorEastAsia" w:hAnsiTheme="minorHAnsi" w:cstheme="minorBidi"/>
          <w:noProof/>
          <w:sz w:val="22"/>
          <w:szCs w:val="22"/>
          <w:lang w:eastAsia="en-GB"/>
        </w:rPr>
      </w:pPr>
      <w:hyperlink w:anchor="_Toc19300775" w:history="1">
        <w:r w:rsidR="00E843D5" w:rsidRPr="001723DC">
          <w:rPr>
            <w:rStyle w:val="Hyperlink"/>
            <w:noProof/>
          </w:rPr>
          <w:t>i. Glossary</w:t>
        </w:r>
        <w:r w:rsidR="00E843D5">
          <w:rPr>
            <w:noProof/>
            <w:webHidden/>
          </w:rPr>
          <w:tab/>
        </w:r>
        <w:r w:rsidR="00E843D5">
          <w:rPr>
            <w:noProof/>
            <w:webHidden/>
          </w:rPr>
          <w:fldChar w:fldCharType="begin"/>
        </w:r>
        <w:r w:rsidR="00E843D5">
          <w:rPr>
            <w:noProof/>
            <w:webHidden/>
          </w:rPr>
          <w:instrText xml:space="preserve"> PAGEREF _Toc19300775 \h </w:instrText>
        </w:r>
        <w:r w:rsidR="00E843D5">
          <w:rPr>
            <w:noProof/>
            <w:webHidden/>
          </w:rPr>
        </w:r>
        <w:r w:rsidR="00E843D5">
          <w:rPr>
            <w:noProof/>
            <w:webHidden/>
          </w:rPr>
          <w:fldChar w:fldCharType="separate"/>
        </w:r>
        <w:r w:rsidR="00831FD7">
          <w:rPr>
            <w:noProof/>
            <w:webHidden/>
          </w:rPr>
          <w:t>2</w:t>
        </w:r>
        <w:r w:rsidR="00E843D5">
          <w:rPr>
            <w:noProof/>
            <w:webHidden/>
          </w:rPr>
          <w:fldChar w:fldCharType="end"/>
        </w:r>
      </w:hyperlink>
    </w:p>
    <w:p w14:paraId="5830AF58" w14:textId="0A384F36" w:rsidR="00E843D5" w:rsidRDefault="00E602F4">
      <w:pPr>
        <w:pStyle w:val="TOC1"/>
        <w:rPr>
          <w:rFonts w:asciiTheme="minorHAnsi" w:eastAsiaTheme="minorEastAsia" w:hAnsiTheme="minorHAnsi" w:cstheme="minorBidi"/>
          <w:noProof/>
          <w:sz w:val="22"/>
          <w:szCs w:val="22"/>
          <w:lang w:eastAsia="en-GB"/>
        </w:rPr>
      </w:pPr>
      <w:hyperlink w:anchor="_Toc19300776" w:history="1">
        <w:r w:rsidR="00E843D5" w:rsidRPr="001723DC">
          <w:rPr>
            <w:rStyle w:val="Hyperlink"/>
            <w:noProof/>
          </w:rPr>
          <w:t>1. Introduction</w:t>
        </w:r>
        <w:r w:rsidR="00E843D5">
          <w:rPr>
            <w:noProof/>
            <w:webHidden/>
          </w:rPr>
          <w:tab/>
        </w:r>
        <w:r w:rsidR="00E843D5">
          <w:rPr>
            <w:noProof/>
            <w:webHidden/>
          </w:rPr>
          <w:fldChar w:fldCharType="begin"/>
        </w:r>
        <w:r w:rsidR="00E843D5">
          <w:rPr>
            <w:noProof/>
            <w:webHidden/>
          </w:rPr>
          <w:instrText xml:space="preserve"> PAGEREF _Toc19300776 \h </w:instrText>
        </w:r>
        <w:r w:rsidR="00E843D5">
          <w:rPr>
            <w:noProof/>
            <w:webHidden/>
          </w:rPr>
        </w:r>
        <w:r w:rsidR="00E843D5">
          <w:rPr>
            <w:noProof/>
            <w:webHidden/>
          </w:rPr>
          <w:fldChar w:fldCharType="separate"/>
        </w:r>
        <w:r w:rsidR="00831FD7">
          <w:rPr>
            <w:noProof/>
            <w:webHidden/>
          </w:rPr>
          <w:t>3</w:t>
        </w:r>
        <w:r w:rsidR="00E843D5">
          <w:rPr>
            <w:noProof/>
            <w:webHidden/>
          </w:rPr>
          <w:fldChar w:fldCharType="end"/>
        </w:r>
      </w:hyperlink>
    </w:p>
    <w:p w14:paraId="5EC3B130" w14:textId="6E8FAD36" w:rsidR="00E843D5" w:rsidRDefault="00E602F4">
      <w:pPr>
        <w:pStyle w:val="TOC1"/>
        <w:rPr>
          <w:rFonts w:asciiTheme="minorHAnsi" w:eastAsiaTheme="minorEastAsia" w:hAnsiTheme="minorHAnsi" w:cstheme="minorBidi"/>
          <w:noProof/>
          <w:sz w:val="22"/>
          <w:szCs w:val="22"/>
          <w:lang w:eastAsia="en-GB"/>
        </w:rPr>
      </w:pPr>
      <w:hyperlink w:anchor="_Toc19300777" w:history="1">
        <w:r w:rsidR="00E843D5" w:rsidRPr="001723DC">
          <w:rPr>
            <w:rStyle w:val="Hyperlink"/>
            <w:noProof/>
          </w:rPr>
          <w:t>2. Key findings</w:t>
        </w:r>
        <w:r w:rsidR="00E843D5">
          <w:rPr>
            <w:noProof/>
            <w:webHidden/>
          </w:rPr>
          <w:tab/>
        </w:r>
        <w:r w:rsidR="00E843D5">
          <w:rPr>
            <w:noProof/>
            <w:webHidden/>
          </w:rPr>
          <w:fldChar w:fldCharType="begin"/>
        </w:r>
        <w:r w:rsidR="00E843D5">
          <w:rPr>
            <w:noProof/>
            <w:webHidden/>
          </w:rPr>
          <w:instrText xml:space="preserve"> PAGEREF _Toc19300777 \h </w:instrText>
        </w:r>
        <w:r w:rsidR="00E843D5">
          <w:rPr>
            <w:noProof/>
            <w:webHidden/>
          </w:rPr>
        </w:r>
        <w:r w:rsidR="00E843D5">
          <w:rPr>
            <w:noProof/>
            <w:webHidden/>
          </w:rPr>
          <w:fldChar w:fldCharType="separate"/>
        </w:r>
        <w:r w:rsidR="00831FD7">
          <w:rPr>
            <w:noProof/>
            <w:webHidden/>
          </w:rPr>
          <w:t>3</w:t>
        </w:r>
        <w:r w:rsidR="00E843D5">
          <w:rPr>
            <w:noProof/>
            <w:webHidden/>
          </w:rPr>
          <w:fldChar w:fldCharType="end"/>
        </w:r>
      </w:hyperlink>
    </w:p>
    <w:p w14:paraId="14715FB3" w14:textId="09371BFF" w:rsidR="00E843D5" w:rsidRDefault="00E602F4">
      <w:pPr>
        <w:pStyle w:val="TOC1"/>
        <w:rPr>
          <w:rFonts w:asciiTheme="minorHAnsi" w:eastAsiaTheme="minorEastAsia" w:hAnsiTheme="minorHAnsi" w:cstheme="minorBidi"/>
          <w:noProof/>
          <w:sz w:val="22"/>
          <w:szCs w:val="22"/>
          <w:lang w:eastAsia="en-GB"/>
        </w:rPr>
      </w:pPr>
      <w:hyperlink w:anchor="_Toc19300778" w:history="1">
        <w:r w:rsidR="00E843D5" w:rsidRPr="001723DC">
          <w:rPr>
            <w:rStyle w:val="Hyperlink"/>
            <w:noProof/>
          </w:rPr>
          <w:t>3. Method</w:t>
        </w:r>
        <w:r w:rsidR="00E843D5">
          <w:rPr>
            <w:noProof/>
            <w:webHidden/>
          </w:rPr>
          <w:tab/>
        </w:r>
        <w:r w:rsidR="00E843D5">
          <w:rPr>
            <w:noProof/>
            <w:webHidden/>
          </w:rPr>
          <w:fldChar w:fldCharType="begin"/>
        </w:r>
        <w:r w:rsidR="00E843D5">
          <w:rPr>
            <w:noProof/>
            <w:webHidden/>
          </w:rPr>
          <w:instrText xml:space="preserve"> PAGEREF _Toc19300778 \h </w:instrText>
        </w:r>
        <w:r w:rsidR="00E843D5">
          <w:rPr>
            <w:noProof/>
            <w:webHidden/>
          </w:rPr>
        </w:r>
        <w:r w:rsidR="00E843D5">
          <w:rPr>
            <w:noProof/>
            <w:webHidden/>
          </w:rPr>
          <w:fldChar w:fldCharType="separate"/>
        </w:r>
        <w:r w:rsidR="00831FD7">
          <w:rPr>
            <w:noProof/>
            <w:webHidden/>
          </w:rPr>
          <w:t>4</w:t>
        </w:r>
        <w:r w:rsidR="00E843D5">
          <w:rPr>
            <w:noProof/>
            <w:webHidden/>
          </w:rPr>
          <w:fldChar w:fldCharType="end"/>
        </w:r>
      </w:hyperlink>
    </w:p>
    <w:p w14:paraId="5C7100A9" w14:textId="2A189A7C" w:rsidR="00E843D5" w:rsidRDefault="00E602F4">
      <w:pPr>
        <w:pStyle w:val="TOC1"/>
        <w:rPr>
          <w:rFonts w:asciiTheme="minorHAnsi" w:eastAsiaTheme="minorEastAsia" w:hAnsiTheme="minorHAnsi" w:cstheme="minorBidi"/>
          <w:noProof/>
          <w:sz w:val="22"/>
          <w:szCs w:val="22"/>
          <w:lang w:eastAsia="en-GB"/>
        </w:rPr>
      </w:pPr>
      <w:hyperlink w:anchor="_Toc19300779" w:history="1">
        <w:r w:rsidR="00E843D5" w:rsidRPr="001723DC">
          <w:rPr>
            <w:rStyle w:val="Hyperlink"/>
            <w:noProof/>
          </w:rPr>
          <w:t>4. Findings</w:t>
        </w:r>
        <w:r w:rsidR="00E843D5">
          <w:rPr>
            <w:noProof/>
            <w:webHidden/>
          </w:rPr>
          <w:tab/>
        </w:r>
        <w:r w:rsidR="00E843D5">
          <w:rPr>
            <w:noProof/>
            <w:webHidden/>
          </w:rPr>
          <w:fldChar w:fldCharType="begin"/>
        </w:r>
        <w:r w:rsidR="00E843D5">
          <w:rPr>
            <w:noProof/>
            <w:webHidden/>
          </w:rPr>
          <w:instrText xml:space="preserve"> PAGEREF _Toc19300779 \h </w:instrText>
        </w:r>
        <w:r w:rsidR="00E843D5">
          <w:rPr>
            <w:noProof/>
            <w:webHidden/>
          </w:rPr>
        </w:r>
        <w:r w:rsidR="00E843D5">
          <w:rPr>
            <w:noProof/>
            <w:webHidden/>
          </w:rPr>
          <w:fldChar w:fldCharType="separate"/>
        </w:r>
        <w:r w:rsidR="00831FD7">
          <w:rPr>
            <w:noProof/>
            <w:webHidden/>
          </w:rPr>
          <w:t>4</w:t>
        </w:r>
        <w:r w:rsidR="00E843D5">
          <w:rPr>
            <w:noProof/>
            <w:webHidden/>
          </w:rPr>
          <w:fldChar w:fldCharType="end"/>
        </w:r>
      </w:hyperlink>
    </w:p>
    <w:p w14:paraId="76333ACB" w14:textId="11EF6143" w:rsidR="00E843D5" w:rsidRDefault="00E602F4">
      <w:pPr>
        <w:pStyle w:val="TOC2"/>
        <w:tabs>
          <w:tab w:val="right" w:leader="dot" w:pos="9016"/>
        </w:tabs>
        <w:rPr>
          <w:rFonts w:asciiTheme="minorHAnsi" w:eastAsiaTheme="minorEastAsia" w:hAnsiTheme="minorHAnsi" w:cstheme="minorBidi"/>
          <w:noProof/>
          <w:sz w:val="22"/>
          <w:szCs w:val="22"/>
          <w:lang w:eastAsia="en-GB"/>
        </w:rPr>
      </w:pPr>
      <w:hyperlink w:anchor="_Toc19300780" w:history="1">
        <w:r w:rsidR="00E843D5" w:rsidRPr="001723DC">
          <w:rPr>
            <w:rStyle w:val="Hyperlink"/>
            <w:noProof/>
          </w:rPr>
          <w:t>4.1 Service provision and organisation</w:t>
        </w:r>
        <w:r w:rsidR="00E843D5">
          <w:rPr>
            <w:noProof/>
            <w:webHidden/>
          </w:rPr>
          <w:tab/>
        </w:r>
        <w:r w:rsidR="00E843D5">
          <w:rPr>
            <w:noProof/>
            <w:webHidden/>
          </w:rPr>
          <w:fldChar w:fldCharType="begin"/>
        </w:r>
        <w:r w:rsidR="00E843D5">
          <w:rPr>
            <w:noProof/>
            <w:webHidden/>
          </w:rPr>
          <w:instrText xml:space="preserve"> PAGEREF _Toc19300780 \h </w:instrText>
        </w:r>
        <w:r w:rsidR="00E843D5">
          <w:rPr>
            <w:noProof/>
            <w:webHidden/>
          </w:rPr>
        </w:r>
        <w:r w:rsidR="00E843D5">
          <w:rPr>
            <w:noProof/>
            <w:webHidden/>
          </w:rPr>
          <w:fldChar w:fldCharType="separate"/>
        </w:r>
        <w:r w:rsidR="00831FD7">
          <w:rPr>
            <w:noProof/>
            <w:webHidden/>
          </w:rPr>
          <w:t>4</w:t>
        </w:r>
        <w:r w:rsidR="00E843D5">
          <w:rPr>
            <w:noProof/>
            <w:webHidden/>
          </w:rPr>
          <w:fldChar w:fldCharType="end"/>
        </w:r>
      </w:hyperlink>
    </w:p>
    <w:p w14:paraId="26637110" w14:textId="5EBB6ACC" w:rsidR="00E843D5" w:rsidRDefault="00E602F4">
      <w:pPr>
        <w:pStyle w:val="TOC2"/>
        <w:tabs>
          <w:tab w:val="right" w:leader="dot" w:pos="9016"/>
        </w:tabs>
        <w:rPr>
          <w:rFonts w:asciiTheme="minorHAnsi" w:eastAsiaTheme="minorEastAsia" w:hAnsiTheme="minorHAnsi" w:cstheme="minorBidi"/>
          <w:noProof/>
          <w:sz w:val="22"/>
          <w:szCs w:val="22"/>
          <w:lang w:eastAsia="en-GB"/>
        </w:rPr>
      </w:pPr>
      <w:hyperlink w:anchor="_Toc19300781" w:history="1">
        <w:r w:rsidR="00E843D5" w:rsidRPr="001723DC">
          <w:rPr>
            <w:rStyle w:val="Hyperlink"/>
            <w:noProof/>
            <w:lang w:eastAsia="en-GB"/>
          </w:rPr>
          <w:t>4.2. Children and young people supported by the service</w:t>
        </w:r>
        <w:r w:rsidR="00E843D5">
          <w:rPr>
            <w:noProof/>
            <w:webHidden/>
          </w:rPr>
          <w:tab/>
        </w:r>
        <w:r w:rsidR="00E843D5">
          <w:rPr>
            <w:noProof/>
            <w:webHidden/>
          </w:rPr>
          <w:fldChar w:fldCharType="begin"/>
        </w:r>
        <w:r w:rsidR="00E843D5">
          <w:rPr>
            <w:noProof/>
            <w:webHidden/>
          </w:rPr>
          <w:instrText xml:space="preserve"> PAGEREF _Toc19300781 \h </w:instrText>
        </w:r>
        <w:r w:rsidR="00E843D5">
          <w:rPr>
            <w:noProof/>
            <w:webHidden/>
          </w:rPr>
        </w:r>
        <w:r w:rsidR="00E843D5">
          <w:rPr>
            <w:noProof/>
            <w:webHidden/>
          </w:rPr>
          <w:fldChar w:fldCharType="separate"/>
        </w:r>
        <w:r w:rsidR="00831FD7">
          <w:rPr>
            <w:noProof/>
            <w:webHidden/>
          </w:rPr>
          <w:t>9</w:t>
        </w:r>
        <w:r w:rsidR="00E843D5">
          <w:rPr>
            <w:noProof/>
            <w:webHidden/>
          </w:rPr>
          <w:fldChar w:fldCharType="end"/>
        </w:r>
      </w:hyperlink>
    </w:p>
    <w:p w14:paraId="4FF53B44" w14:textId="05DE80B0" w:rsidR="00E843D5" w:rsidRDefault="00E602F4">
      <w:pPr>
        <w:pStyle w:val="TOC2"/>
        <w:tabs>
          <w:tab w:val="right" w:leader="dot" w:pos="9016"/>
        </w:tabs>
        <w:rPr>
          <w:rFonts w:asciiTheme="minorHAnsi" w:eastAsiaTheme="minorEastAsia" w:hAnsiTheme="minorHAnsi" w:cstheme="minorBidi"/>
          <w:noProof/>
          <w:sz w:val="22"/>
          <w:szCs w:val="22"/>
          <w:lang w:eastAsia="en-GB"/>
        </w:rPr>
      </w:pPr>
      <w:hyperlink w:anchor="_Toc19300782" w:history="1">
        <w:r w:rsidR="00E843D5" w:rsidRPr="001723DC">
          <w:rPr>
            <w:rStyle w:val="Hyperlink"/>
            <w:noProof/>
          </w:rPr>
          <w:t>4.3 Teachers and support staff</w:t>
        </w:r>
        <w:r w:rsidR="00E843D5">
          <w:rPr>
            <w:noProof/>
            <w:webHidden/>
          </w:rPr>
          <w:tab/>
        </w:r>
        <w:r w:rsidR="00E843D5">
          <w:rPr>
            <w:noProof/>
            <w:webHidden/>
          </w:rPr>
          <w:fldChar w:fldCharType="begin"/>
        </w:r>
        <w:r w:rsidR="00E843D5">
          <w:rPr>
            <w:noProof/>
            <w:webHidden/>
          </w:rPr>
          <w:instrText xml:space="preserve"> PAGEREF _Toc19300782 \h </w:instrText>
        </w:r>
        <w:r w:rsidR="00E843D5">
          <w:rPr>
            <w:noProof/>
            <w:webHidden/>
          </w:rPr>
        </w:r>
        <w:r w:rsidR="00E843D5">
          <w:rPr>
            <w:noProof/>
            <w:webHidden/>
          </w:rPr>
          <w:fldChar w:fldCharType="separate"/>
        </w:r>
        <w:r w:rsidR="00831FD7">
          <w:rPr>
            <w:noProof/>
            <w:webHidden/>
          </w:rPr>
          <w:t>16</w:t>
        </w:r>
        <w:r w:rsidR="00E843D5">
          <w:rPr>
            <w:noProof/>
            <w:webHidden/>
          </w:rPr>
          <w:fldChar w:fldCharType="end"/>
        </w:r>
      </w:hyperlink>
    </w:p>
    <w:p w14:paraId="0DEF9259" w14:textId="1E050D21" w:rsidR="00E843D5" w:rsidRDefault="00E602F4">
      <w:pPr>
        <w:pStyle w:val="TOC2"/>
        <w:tabs>
          <w:tab w:val="right" w:leader="dot" w:pos="9016"/>
        </w:tabs>
        <w:rPr>
          <w:rFonts w:asciiTheme="minorHAnsi" w:eastAsiaTheme="minorEastAsia" w:hAnsiTheme="minorHAnsi" w:cstheme="minorBidi"/>
          <w:noProof/>
          <w:sz w:val="22"/>
          <w:szCs w:val="22"/>
          <w:lang w:eastAsia="en-GB"/>
        </w:rPr>
      </w:pPr>
      <w:hyperlink w:anchor="_Toc19300783" w:history="1">
        <w:r w:rsidR="00E843D5" w:rsidRPr="001723DC">
          <w:rPr>
            <w:rStyle w:val="Hyperlink"/>
            <w:noProof/>
            <w:lang w:eastAsia="en-GB"/>
          </w:rPr>
          <w:t>4.4 Redress and registers</w:t>
        </w:r>
        <w:r w:rsidR="00E843D5">
          <w:rPr>
            <w:noProof/>
            <w:webHidden/>
          </w:rPr>
          <w:tab/>
        </w:r>
        <w:r w:rsidR="00E843D5">
          <w:rPr>
            <w:noProof/>
            <w:webHidden/>
          </w:rPr>
          <w:fldChar w:fldCharType="begin"/>
        </w:r>
        <w:r w:rsidR="00E843D5">
          <w:rPr>
            <w:noProof/>
            <w:webHidden/>
          </w:rPr>
          <w:instrText xml:space="preserve"> PAGEREF _Toc19300783 \h </w:instrText>
        </w:r>
        <w:r w:rsidR="00E843D5">
          <w:rPr>
            <w:noProof/>
            <w:webHidden/>
          </w:rPr>
        </w:r>
        <w:r w:rsidR="00E843D5">
          <w:rPr>
            <w:noProof/>
            <w:webHidden/>
          </w:rPr>
          <w:fldChar w:fldCharType="separate"/>
        </w:r>
        <w:r w:rsidR="00831FD7">
          <w:rPr>
            <w:noProof/>
            <w:webHidden/>
          </w:rPr>
          <w:t>18</w:t>
        </w:r>
        <w:r w:rsidR="00E843D5">
          <w:rPr>
            <w:noProof/>
            <w:webHidden/>
          </w:rPr>
          <w:fldChar w:fldCharType="end"/>
        </w:r>
      </w:hyperlink>
    </w:p>
    <w:p w14:paraId="3ACE105D" w14:textId="0DA0866F" w:rsidR="00E843D5" w:rsidRDefault="00E602F4">
      <w:pPr>
        <w:pStyle w:val="TOC1"/>
        <w:rPr>
          <w:rFonts w:asciiTheme="minorHAnsi" w:eastAsiaTheme="minorEastAsia" w:hAnsiTheme="minorHAnsi" w:cstheme="minorBidi"/>
          <w:noProof/>
          <w:sz w:val="22"/>
          <w:szCs w:val="22"/>
          <w:lang w:eastAsia="en-GB"/>
        </w:rPr>
      </w:pPr>
      <w:hyperlink w:anchor="_Toc19300784" w:history="1">
        <w:r w:rsidR="00E843D5" w:rsidRPr="001723DC">
          <w:rPr>
            <w:rStyle w:val="Hyperlink"/>
            <w:noProof/>
            <w:lang w:eastAsia="en-GB"/>
          </w:rPr>
          <w:t>5. Conclusion</w:t>
        </w:r>
        <w:r w:rsidR="00E843D5">
          <w:rPr>
            <w:noProof/>
            <w:webHidden/>
          </w:rPr>
          <w:tab/>
        </w:r>
        <w:r w:rsidR="00E843D5">
          <w:rPr>
            <w:noProof/>
            <w:webHidden/>
          </w:rPr>
          <w:fldChar w:fldCharType="begin"/>
        </w:r>
        <w:r w:rsidR="00E843D5">
          <w:rPr>
            <w:noProof/>
            <w:webHidden/>
          </w:rPr>
          <w:instrText xml:space="preserve"> PAGEREF _Toc19300784 \h </w:instrText>
        </w:r>
        <w:r w:rsidR="00E843D5">
          <w:rPr>
            <w:noProof/>
            <w:webHidden/>
          </w:rPr>
        </w:r>
        <w:r w:rsidR="00E843D5">
          <w:rPr>
            <w:noProof/>
            <w:webHidden/>
          </w:rPr>
          <w:fldChar w:fldCharType="separate"/>
        </w:r>
        <w:r w:rsidR="00831FD7">
          <w:rPr>
            <w:noProof/>
            <w:webHidden/>
          </w:rPr>
          <w:t>19</w:t>
        </w:r>
        <w:r w:rsidR="00E843D5">
          <w:rPr>
            <w:noProof/>
            <w:webHidden/>
          </w:rPr>
          <w:fldChar w:fldCharType="end"/>
        </w:r>
      </w:hyperlink>
    </w:p>
    <w:p w14:paraId="0E5683D3" w14:textId="11932C55" w:rsidR="00E843D5" w:rsidRDefault="00E602F4">
      <w:pPr>
        <w:pStyle w:val="TOC1"/>
        <w:rPr>
          <w:rFonts w:asciiTheme="minorHAnsi" w:eastAsiaTheme="minorEastAsia" w:hAnsiTheme="minorHAnsi" w:cstheme="minorBidi"/>
          <w:noProof/>
          <w:sz w:val="22"/>
          <w:szCs w:val="22"/>
          <w:lang w:eastAsia="en-GB"/>
        </w:rPr>
      </w:pPr>
      <w:hyperlink w:anchor="_Toc19300785" w:history="1">
        <w:r w:rsidR="00E843D5" w:rsidRPr="001723DC">
          <w:rPr>
            <w:rStyle w:val="Hyperlink"/>
            <w:noProof/>
            <w:lang w:eastAsia="en-GB"/>
          </w:rPr>
          <w:t>6. References</w:t>
        </w:r>
        <w:r w:rsidR="00E843D5">
          <w:rPr>
            <w:noProof/>
            <w:webHidden/>
          </w:rPr>
          <w:tab/>
        </w:r>
        <w:r w:rsidR="00E843D5">
          <w:rPr>
            <w:noProof/>
            <w:webHidden/>
          </w:rPr>
          <w:fldChar w:fldCharType="begin"/>
        </w:r>
        <w:r w:rsidR="00E843D5">
          <w:rPr>
            <w:noProof/>
            <w:webHidden/>
          </w:rPr>
          <w:instrText xml:space="preserve"> PAGEREF _Toc19300785 \h </w:instrText>
        </w:r>
        <w:r w:rsidR="00E843D5">
          <w:rPr>
            <w:noProof/>
            <w:webHidden/>
          </w:rPr>
        </w:r>
        <w:r w:rsidR="00E843D5">
          <w:rPr>
            <w:noProof/>
            <w:webHidden/>
          </w:rPr>
          <w:fldChar w:fldCharType="separate"/>
        </w:r>
        <w:r w:rsidR="00831FD7">
          <w:rPr>
            <w:noProof/>
            <w:webHidden/>
          </w:rPr>
          <w:t>20</w:t>
        </w:r>
        <w:r w:rsidR="00E843D5">
          <w:rPr>
            <w:noProof/>
            <w:webHidden/>
          </w:rPr>
          <w:fldChar w:fldCharType="end"/>
        </w:r>
      </w:hyperlink>
    </w:p>
    <w:p w14:paraId="100CAECB" w14:textId="77777777" w:rsidR="00F84898" w:rsidRDefault="00494C68" w:rsidP="00F84898">
      <w:r>
        <w:fldChar w:fldCharType="end"/>
      </w:r>
    </w:p>
    <w:p w14:paraId="27C15CB1" w14:textId="2D6576D2" w:rsidR="00494C68" w:rsidRDefault="00494C68" w:rsidP="0079074A"/>
    <w:p w14:paraId="4B72B5A6" w14:textId="77777777" w:rsidR="00F84898" w:rsidRDefault="00F84898">
      <w:pPr>
        <w:rPr>
          <w:b/>
          <w:kern w:val="32"/>
          <w:sz w:val="44"/>
        </w:rPr>
      </w:pPr>
      <w:r>
        <w:br w:type="page"/>
      </w:r>
    </w:p>
    <w:p w14:paraId="486C02EC" w14:textId="66AB0F31" w:rsidR="00585804" w:rsidRDefault="00585804" w:rsidP="00585804">
      <w:pPr>
        <w:pStyle w:val="Heading1"/>
      </w:pPr>
      <w:bookmarkStart w:id="14" w:name="_Toc19300775"/>
      <w:proofErr w:type="spellStart"/>
      <w:r>
        <w:lastRenderedPageBreak/>
        <w:t>i</w:t>
      </w:r>
      <w:proofErr w:type="spellEnd"/>
      <w:r>
        <w:t>. Glossary</w:t>
      </w:r>
      <w:bookmarkEnd w:id="14"/>
    </w:p>
    <w:p w14:paraId="19F44846" w14:textId="01A4E791" w:rsidR="00C464CA" w:rsidRDefault="00FB53C2" w:rsidP="00C464CA">
      <w:r>
        <w:t>The following table is a glossary</w:t>
      </w:r>
      <w:r w:rsidR="00C713A4">
        <w:t xml:space="preserve"> containing acronyms used in this report and their definitions. There are two columns. The first column contains the acronym and the second column contains the definition.</w:t>
      </w:r>
    </w:p>
    <w:p w14:paraId="2E54642B" w14:textId="77777777" w:rsidR="00EE1E08" w:rsidRPr="00C464CA" w:rsidRDefault="00EE1E08" w:rsidP="00C464CA"/>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7603"/>
      </w:tblGrid>
      <w:tr w:rsidR="00AE7FDE" w14:paraId="6DEA48BC" w14:textId="77777777" w:rsidTr="00EE1E08">
        <w:tc>
          <w:tcPr>
            <w:tcW w:w="1413" w:type="dxa"/>
          </w:tcPr>
          <w:p w14:paraId="4F4BB928" w14:textId="77777777" w:rsidR="00AE7FDE" w:rsidRPr="005902A3" w:rsidRDefault="00AE7FDE" w:rsidP="00007562">
            <w:pPr>
              <w:spacing w:after="120"/>
              <w:rPr>
                <w:b/>
              </w:rPr>
            </w:pPr>
            <w:r w:rsidRPr="005902A3">
              <w:rPr>
                <w:b/>
              </w:rPr>
              <w:t>CPI</w:t>
            </w:r>
          </w:p>
        </w:tc>
        <w:tc>
          <w:tcPr>
            <w:tcW w:w="7603" w:type="dxa"/>
          </w:tcPr>
          <w:p w14:paraId="270B0C79" w14:textId="77777777" w:rsidR="00AE7FDE" w:rsidRDefault="00AE7FDE" w:rsidP="00007562">
            <w:pPr>
              <w:spacing w:after="120"/>
            </w:pPr>
            <w:r>
              <w:t>Consumer Price Index</w:t>
            </w:r>
          </w:p>
        </w:tc>
      </w:tr>
      <w:tr w:rsidR="00AE7FDE" w14:paraId="669439B2" w14:textId="77777777" w:rsidTr="00EE1E08">
        <w:tc>
          <w:tcPr>
            <w:tcW w:w="1413" w:type="dxa"/>
          </w:tcPr>
          <w:p w14:paraId="4FF538C6" w14:textId="77777777" w:rsidR="00AE7FDE" w:rsidRPr="005902A3" w:rsidRDefault="00AE7FDE" w:rsidP="00007562">
            <w:pPr>
              <w:spacing w:after="120"/>
              <w:rPr>
                <w:b/>
              </w:rPr>
            </w:pPr>
            <w:r w:rsidRPr="005902A3">
              <w:rPr>
                <w:b/>
              </w:rPr>
              <w:t>CYP</w:t>
            </w:r>
          </w:p>
        </w:tc>
        <w:tc>
          <w:tcPr>
            <w:tcW w:w="7603" w:type="dxa"/>
          </w:tcPr>
          <w:p w14:paraId="0D8FF41A" w14:textId="77777777" w:rsidR="00AE7FDE" w:rsidRDefault="00AE7FDE" w:rsidP="00007562">
            <w:pPr>
              <w:spacing w:after="120"/>
            </w:pPr>
            <w:r>
              <w:t>Children and Young People</w:t>
            </w:r>
          </w:p>
        </w:tc>
      </w:tr>
      <w:tr w:rsidR="00AE7FDE" w14:paraId="5F5D537D" w14:textId="77777777" w:rsidTr="00EE1E08">
        <w:tc>
          <w:tcPr>
            <w:tcW w:w="1413" w:type="dxa"/>
          </w:tcPr>
          <w:p w14:paraId="5F7660F7" w14:textId="77777777" w:rsidR="00AE7FDE" w:rsidRPr="005902A3" w:rsidRDefault="00AE7FDE" w:rsidP="00007562">
            <w:pPr>
              <w:spacing w:after="120"/>
              <w:rPr>
                <w:b/>
              </w:rPr>
            </w:pPr>
            <w:r w:rsidRPr="005902A3">
              <w:rPr>
                <w:b/>
              </w:rPr>
              <w:t>DfE</w:t>
            </w:r>
          </w:p>
        </w:tc>
        <w:tc>
          <w:tcPr>
            <w:tcW w:w="7603" w:type="dxa"/>
          </w:tcPr>
          <w:p w14:paraId="5B72D4DF" w14:textId="77777777" w:rsidR="00AE7FDE" w:rsidRDefault="00AE7FDE" w:rsidP="00007562">
            <w:pPr>
              <w:spacing w:after="120"/>
            </w:pPr>
            <w:r>
              <w:t>Department for Education</w:t>
            </w:r>
          </w:p>
        </w:tc>
      </w:tr>
      <w:tr w:rsidR="00AE7FDE" w14:paraId="2BEC74A7" w14:textId="77777777" w:rsidTr="00EE1E08">
        <w:tc>
          <w:tcPr>
            <w:tcW w:w="1413" w:type="dxa"/>
          </w:tcPr>
          <w:p w14:paraId="1A58D281" w14:textId="77777777" w:rsidR="00AE7FDE" w:rsidRPr="005902A3" w:rsidRDefault="00AE7FDE" w:rsidP="00007562">
            <w:pPr>
              <w:spacing w:after="120"/>
              <w:rPr>
                <w:b/>
              </w:rPr>
            </w:pPr>
            <w:r w:rsidRPr="005902A3">
              <w:rPr>
                <w:b/>
              </w:rPr>
              <w:t>EHCP</w:t>
            </w:r>
          </w:p>
        </w:tc>
        <w:tc>
          <w:tcPr>
            <w:tcW w:w="7603" w:type="dxa"/>
          </w:tcPr>
          <w:p w14:paraId="5C906E83" w14:textId="77777777" w:rsidR="00AE7FDE" w:rsidRDefault="00AE7FDE" w:rsidP="00007562">
            <w:pPr>
              <w:spacing w:after="120"/>
            </w:pPr>
            <w:r>
              <w:t>Education, Health, and Care Plan</w:t>
            </w:r>
          </w:p>
        </w:tc>
      </w:tr>
      <w:tr w:rsidR="00AE7FDE" w14:paraId="1DE4DB78" w14:textId="77777777" w:rsidTr="00EE1E08">
        <w:tc>
          <w:tcPr>
            <w:tcW w:w="1413" w:type="dxa"/>
          </w:tcPr>
          <w:p w14:paraId="2943F513" w14:textId="77777777" w:rsidR="00AE7FDE" w:rsidRPr="005902A3" w:rsidRDefault="00AE7FDE" w:rsidP="00007562">
            <w:pPr>
              <w:spacing w:after="120"/>
              <w:rPr>
                <w:b/>
              </w:rPr>
            </w:pPr>
            <w:r w:rsidRPr="005902A3">
              <w:rPr>
                <w:b/>
              </w:rPr>
              <w:t>EYFS</w:t>
            </w:r>
          </w:p>
        </w:tc>
        <w:tc>
          <w:tcPr>
            <w:tcW w:w="7603" w:type="dxa"/>
          </w:tcPr>
          <w:p w14:paraId="2F1D9B8A" w14:textId="77777777" w:rsidR="00AE7FDE" w:rsidRDefault="00AE7FDE" w:rsidP="00007562">
            <w:pPr>
              <w:spacing w:after="120"/>
            </w:pPr>
            <w:r>
              <w:t>Early Years Foundation Stage</w:t>
            </w:r>
          </w:p>
        </w:tc>
      </w:tr>
      <w:tr w:rsidR="00AE7FDE" w14:paraId="54B5C2B4" w14:textId="77777777" w:rsidTr="00EE1E08">
        <w:tc>
          <w:tcPr>
            <w:tcW w:w="1413" w:type="dxa"/>
          </w:tcPr>
          <w:p w14:paraId="6FC4585E" w14:textId="77777777" w:rsidR="00AE7FDE" w:rsidRPr="005902A3" w:rsidRDefault="00AE7FDE" w:rsidP="00007562">
            <w:pPr>
              <w:spacing w:after="120"/>
              <w:rPr>
                <w:b/>
              </w:rPr>
            </w:pPr>
            <w:r w:rsidRPr="005902A3">
              <w:rPr>
                <w:b/>
              </w:rPr>
              <w:t>FE</w:t>
            </w:r>
          </w:p>
        </w:tc>
        <w:tc>
          <w:tcPr>
            <w:tcW w:w="7603" w:type="dxa"/>
          </w:tcPr>
          <w:p w14:paraId="5A7EFCD1" w14:textId="77777777" w:rsidR="00AE7FDE" w:rsidRDefault="00AE7FDE" w:rsidP="00007562">
            <w:pPr>
              <w:spacing w:after="120"/>
            </w:pPr>
            <w:r>
              <w:t>Further Education</w:t>
            </w:r>
          </w:p>
        </w:tc>
      </w:tr>
      <w:tr w:rsidR="00AE7FDE" w14:paraId="7D5CB007" w14:textId="77777777" w:rsidTr="00EE1E08">
        <w:tc>
          <w:tcPr>
            <w:tcW w:w="1413" w:type="dxa"/>
          </w:tcPr>
          <w:p w14:paraId="5BFB58FE" w14:textId="77777777" w:rsidR="00AE7FDE" w:rsidRPr="005902A3" w:rsidRDefault="00AE7FDE" w:rsidP="00007562">
            <w:pPr>
              <w:spacing w:after="120"/>
              <w:rPr>
                <w:b/>
              </w:rPr>
            </w:pPr>
            <w:r w:rsidRPr="005902A3">
              <w:rPr>
                <w:b/>
              </w:rPr>
              <w:t>FOI</w:t>
            </w:r>
          </w:p>
        </w:tc>
        <w:tc>
          <w:tcPr>
            <w:tcW w:w="7603" w:type="dxa"/>
          </w:tcPr>
          <w:p w14:paraId="5491EDCD" w14:textId="2C74C2FE" w:rsidR="00AE7FDE" w:rsidRDefault="00AE7FDE" w:rsidP="00007562">
            <w:pPr>
              <w:spacing w:after="120"/>
            </w:pPr>
            <w:r>
              <w:t>Freedom of Information</w:t>
            </w:r>
          </w:p>
        </w:tc>
      </w:tr>
      <w:tr w:rsidR="00AE7FDE" w14:paraId="718DB0CE" w14:textId="77777777" w:rsidTr="00EE1E08">
        <w:tc>
          <w:tcPr>
            <w:tcW w:w="1413" w:type="dxa"/>
          </w:tcPr>
          <w:p w14:paraId="67DA0596" w14:textId="77777777" w:rsidR="00AE7FDE" w:rsidRPr="005902A3" w:rsidRDefault="00AE7FDE" w:rsidP="00007562">
            <w:pPr>
              <w:spacing w:after="120"/>
              <w:rPr>
                <w:b/>
              </w:rPr>
            </w:pPr>
            <w:r w:rsidRPr="005902A3">
              <w:rPr>
                <w:b/>
              </w:rPr>
              <w:t>FTE</w:t>
            </w:r>
          </w:p>
        </w:tc>
        <w:tc>
          <w:tcPr>
            <w:tcW w:w="7603" w:type="dxa"/>
          </w:tcPr>
          <w:p w14:paraId="32152DE0" w14:textId="77777777" w:rsidR="00AE7FDE" w:rsidRDefault="00AE7FDE" w:rsidP="00007562">
            <w:pPr>
              <w:spacing w:after="120"/>
            </w:pPr>
            <w:r>
              <w:t>Full-time Equivalent</w:t>
            </w:r>
          </w:p>
        </w:tc>
      </w:tr>
      <w:tr w:rsidR="00AE7FDE" w14:paraId="465FC407" w14:textId="77777777" w:rsidTr="00EE1E08">
        <w:tc>
          <w:tcPr>
            <w:tcW w:w="1413" w:type="dxa"/>
          </w:tcPr>
          <w:p w14:paraId="63C4C525" w14:textId="77777777" w:rsidR="00AE7FDE" w:rsidRPr="005902A3" w:rsidRDefault="00AE7FDE" w:rsidP="00007562">
            <w:pPr>
              <w:spacing w:after="120"/>
              <w:rPr>
                <w:b/>
              </w:rPr>
            </w:pPr>
            <w:r w:rsidRPr="005902A3">
              <w:rPr>
                <w:b/>
              </w:rPr>
              <w:t>HI</w:t>
            </w:r>
          </w:p>
        </w:tc>
        <w:tc>
          <w:tcPr>
            <w:tcW w:w="7603" w:type="dxa"/>
          </w:tcPr>
          <w:p w14:paraId="0ECC1574" w14:textId="77777777" w:rsidR="00AE7FDE" w:rsidRDefault="00AE7FDE" w:rsidP="00007562">
            <w:pPr>
              <w:spacing w:after="120"/>
            </w:pPr>
            <w:r>
              <w:t>Hearing Impairment</w:t>
            </w:r>
          </w:p>
        </w:tc>
      </w:tr>
      <w:tr w:rsidR="00AE7FDE" w14:paraId="374D50FB" w14:textId="77777777" w:rsidTr="00EE1E08">
        <w:tc>
          <w:tcPr>
            <w:tcW w:w="1413" w:type="dxa"/>
          </w:tcPr>
          <w:p w14:paraId="62F025EB" w14:textId="77777777" w:rsidR="00AE7FDE" w:rsidRPr="005902A3" w:rsidRDefault="00AE7FDE" w:rsidP="00007562">
            <w:pPr>
              <w:spacing w:after="120"/>
              <w:rPr>
                <w:b/>
              </w:rPr>
            </w:pPr>
            <w:r w:rsidRPr="005902A3">
              <w:rPr>
                <w:b/>
              </w:rPr>
              <w:t>LA</w:t>
            </w:r>
          </w:p>
        </w:tc>
        <w:tc>
          <w:tcPr>
            <w:tcW w:w="7603" w:type="dxa"/>
          </w:tcPr>
          <w:p w14:paraId="31EB9F5C" w14:textId="77777777" w:rsidR="00AE7FDE" w:rsidRDefault="00AE7FDE" w:rsidP="00007562">
            <w:pPr>
              <w:spacing w:after="120"/>
            </w:pPr>
            <w:r>
              <w:t>Local Authority</w:t>
            </w:r>
          </w:p>
        </w:tc>
      </w:tr>
      <w:tr w:rsidR="00AE7FDE" w14:paraId="27249953" w14:textId="77777777" w:rsidTr="00EE1E08">
        <w:tc>
          <w:tcPr>
            <w:tcW w:w="1413" w:type="dxa"/>
          </w:tcPr>
          <w:p w14:paraId="2C288EBE" w14:textId="77777777" w:rsidR="00AE7FDE" w:rsidRPr="005902A3" w:rsidRDefault="00AE7FDE" w:rsidP="00007562">
            <w:pPr>
              <w:spacing w:after="120"/>
              <w:rPr>
                <w:b/>
              </w:rPr>
            </w:pPr>
            <w:r w:rsidRPr="005902A3">
              <w:rPr>
                <w:b/>
              </w:rPr>
              <w:t>MQ</w:t>
            </w:r>
          </w:p>
        </w:tc>
        <w:tc>
          <w:tcPr>
            <w:tcW w:w="7603" w:type="dxa"/>
          </w:tcPr>
          <w:p w14:paraId="2AF8D588" w14:textId="77777777" w:rsidR="00AE7FDE" w:rsidRDefault="00AE7FDE" w:rsidP="00007562">
            <w:pPr>
              <w:spacing w:after="120"/>
            </w:pPr>
            <w:r>
              <w:t>Mandatory Qualification</w:t>
            </w:r>
          </w:p>
        </w:tc>
      </w:tr>
      <w:tr w:rsidR="00AE7FDE" w14:paraId="6F4248EC" w14:textId="77777777" w:rsidTr="00EE1E08">
        <w:tc>
          <w:tcPr>
            <w:tcW w:w="1413" w:type="dxa"/>
          </w:tcPr>
          <w:p w14:paraId="421AD39A" w14:textId="77777777" w:rsidR="00AE7FDE" w:rsidRPr="005902A3" w:rsidRDefault="00AE7FDE" w:rsidP="00007562">
            <w:pPr>
              <w:spacing w:after="120"/>
              <w:rPr>
                <w:b/>
              </w:rPr>
            </w:pPr>
            <w:r w:rsidRPr="005902A3">
              <w:rPr>
                <w:b/>
              </w:rPr>
              <w:t>MSI</w:t>
            </w:r>
          </w:p>
        </w:tc>
        <w:tc>
          <w:tcPr>
            <w:tcW w:w="7603" w:type="dxa"/>
          </w:tcPr>
          <w:p w14:paraId="1A349B9B" w14:textId="77777777" w:rsidR="00AE7FDE" w:rsidRDefault="00AE7FDE" w:rsidP="00007562">
            <w:pPr>
              <w:spacing w:after="120"/>
            </w:pPr>
            <w:r>
              <w:t>Multi-sensory Impairment</w:t>
            </w:r>
          </w:p>
        </w:tc>
      </w:tr>
      <w:tr w:rsidR="00AE7FDE" w14:paraId="5DEB345F" w14:textId="77777777" w:rsidTr="00EE1E08">
        <w:tc>
          <w:tcPr>
            <w:tcW w:w="1413" w:type="dxa"/>
          </w:tcPr>
          <w:p w14:paraId="5CF467BD" w14:textId="77777777" w:rsidR="00AE7FDE" w:rsidRPr="005902A3" w:rsidRDefault="00AE7FDE" w:rsidP="00007562">
            <w:pPr>
              <w:spacing w:after="120"/>
              <w:rPr>
                <w:b/>
              </w:rPr>
            </w:pPr>
            <w:proofErr w:type="spellStart"/>
            <w:r w:rsidRPr="005902A3">
              <w:rPr>
                <w:b/>
              </w:rPr>
              <w:t>NatSIP</w:t>
            </w:r>
            <w:proofErr w:type="spellEnd"/>
          </w:p>
        </w:tc>
        <w:tc>
          <w:tcPr>
            <w:tcW w:w="7603" w:type="dxa"/>
          </w:tcPr>
          <w:p w14:paraId="273CADFB" w14:textId="77777777" w:rsidR="00AE7FDE" w:rsidRDefault="00AE7FDE" w:rsidP="00007562">
            <w:pPr>
              <w:spacing w:after="120"/>
            </w:pPr>
            <w:r>
              <w:t>National Sensory Impairment Partnership</w:t>
            </w:r>
          </w:p>
        </w:tc>
      </w:tr>
      <w:tr w:rsidR="00AE7FDE" w14:paraId="7E3CE0E5" w14:textId="77777777" w:rsidTr="00EE1E08">
        <w:tc>
          <w:tcPr>
            <w:tcW w:w="1413" w:type="dxa"/>
          </w:tcPr>
          <w:p w14:paraId="23451793" w14:textId="77777777" w:rsidR="00AE7FDE" w:rsidRPr="005902A3" w:rsidRDefault="00AE7FDE" w:rsidP="00007562">
            <w:pPr>
              <w:spacing w:after="120"/>
              <w:rPr>
                <w:b/>
              </w:rPr>
            </w:pPr>
            <w:r w:rsidRPr="005902A3">
              <w:rPr>
                <w:b/>
              </w:rPr>
              <w:t>PMLD</w:t>
            </w:r>
          </w:p>
        </w:tc>
        <w:tc>
          <w:tcPr>
            <w:tcW w:w="7603" w:type="dxa"/>
          </w:tcPr>
          <w:p w14:paraId="2CA62DEE" w14:textId="77777777" w:rsidR="00AE7FDE" w:rsidRDefault="00AE7FDE" w:rsidP="00007562">
            <w:pPr>
              <w:spacing w:after="120"/>
            </w:pPr>
            <w:r>
              <w:t>Profound and Multiple Learning Difficulties</w:t>
            </w:r>
          </w:p>
        </w:tc>
      </w:tr>
      <w:tr w:rsidR="00AE7FDE" w14:paraId="7B0D7F93" w14:textId="77777777" w:rsidTr="00EE1E08">
        <w:tc>
          <w:tcPr>
            <w:tcW w:w="1413" w:type="dxa"/>
          </w:tcPr>
          <w:p w14:paraId="008C9E71" w14:textId="77777777" w:rsidR="00AE7FDE" w:rsidRPr="005902A3" w:rsidRDefault="00AE7FDE" w:rsidP="00007562">
            <w:pPr>
              <w:spacing w:after="120"/>
              <w:rPr>
                <w:b/>
              </w:rPr>
            </w:pPr>
            <w:r w:rsidRPr="005902A3">
              <w:rPr>
                <w:b/>
              </w:rPr>
              <w:t>QTMSI</w:t>
            </w:r>
          </w:p>
        </w:tc>
        <w:tc>
          <w:tcPr>
            <w:tcW w:w="7603" w:type="dxa"/>
          </w:tcPr>
          <w:p w14:paraId="2DA7023C" w14:textId="77777777" w:rsidR="00AE7FDE" w:rsidRDefault="00AE7FDE" w:rsidP="00007562">
            <w:pPr>
              <w:spacing w:after="120"/>
            </w:pPr>
            <w:r>
              <w:t>Qualified Teacher of children and young people with Multi-Sensory Impairment</w:t>
            </w:r>
          </w:p>
        </w:tc>
      </w:tr>
      <w:tr w:rsidR="00AE7FDE" w14:paraId="08F6B8F2" w14:textId="77777777" w:rsidTr="00EE1E08">
        <w:tc>
          <w:tcPr>
            <w:tcW w:w="1413" w:type="dxa"/>
          </w:tcPr>
          <w:p w14:paraId="4FE4368E" w14:textId="77777777" w:rsidR="00AE7FDE" w:rsidRPr="005902A3" w:rsidRDefault="00AE7FDE" w:rsidP="00007562">
            <w:pPr>
              <w:spacing w:after="120"/>
              <w:rPr>
                <w:b/>
              </w:rPr>
            </w:pPr>
            <w:r w:rsidRPr="005902A3">
              <w:rPr>
                <w:b/>
              </w:rPr>
              <w:t>QTVI</w:t>
            </w:r>
          </w:p>
        </w:tc>
        <w:tc>
          <w:tcPr>
            <w:tcW w:w="7603" w:type="dxa"/>
          </w:tcPr>
          <w:p w14:paraId="010DC978" w14:textId="77777777" w:rsidR="00AE7FDE" w:rsidRDefault="00AE7FDE" w:rsidP="00007562">
            <w:pPr>
              <w:spacing w:after="120"/>
            </w:pPr>
            <w:r>
              <w:t>Qualified Teacher of children and young people with Vision Impairment</w:t>
            </w:r>
          </w:p>
        </w:tc>
      </w:tr>
      <w:tr w:rsidR="00AE7FDE" w14:paraId="5A9C6951" w14:textId="77777777" w:rsidTr="00EE1E08">
        <w:tc>
          <w:tcPr>
            <w:tcW w:w="1413" w:type="dxa"/>
          </w:tcPr>
          <w:p w14:paraId="7C21BFCD" w14:textId="77777777" w:rsidR="00AE7FDE" w:rsidRPr="005902A3" w:rsidRDefault="00AE7FDE" w:rsidP="00007562">
            <w:pPr>
              <w:spacing w:after="120"/>
              <w:rPr>
                <w:b/>
              </w:rPr>
            </w:pPr>
            <w:r w:rsidRPr="005902A3">
              <w:rPr>
                <w:b/>
              </w:rPr>
              <w:t>RNIB</w:t>
            </w:r>
          </w:p>
        </w:tc>
        <w:tc>
          <w:tcPr>
            <w:tcW w:w="7603" w:type="dxa"/>
          </w:tcPr>
          <w:p w14:paraId="35C82767" w14:textId="77777777" w:rsidR="00AE7FDE" w:rsidRDefault="00AE7FDE" w:rsidP="00007562">
            <w:pPr>
              <w:spacing w:after="120"/>
            </w:pPr>
            <w:r>
              <w:t>Royal National Institute of Blind People</w:t>
            </w:r>
          </w:p>
        </w:tc>
      </w:tr>
      <w:tr w:rsidR="00AE7FDE" w14:paraId="5EEF5349" w14:textId="77777777" w:rsidTr="00EE1E08">
        <w:tc>
          <w:tcPr>
            <w:tcW w:w="1413" w:type="dxa"/>
          </w:tcPr>
          <w:p w14:paraId="3D812C88" w14:textId="77777777" w:rsidR="00AE7FDE" w:rsidRPr="005902A3" w:rsidRDefault="00AE7FDE" w:rsidP="00007562">
            <w:pPr>
              <w:spacing w:after="120"/>
              <w:rPr>
                <w:b/>
              </w:rPr>
            </w:pPr>
            <w:r w:rsidRPr="005902A3">
              <w:rPr>
                <w:b/>
              </w:rPr>
              <w:t>SEN</w:t>
            </w:r>
          </w:p>
        </w:tc>
        <w:tc>
          <w:tcPr>
            <w:tcW w:w="7603" w:type="dxa"/>
          </w:tcPr>
          <w:p w14:paraId="1F962AA9" w14:textId="307C6AD2" w:rsidR="00AE7FDE" w:rsidRDefault="00AE7FDE" w:rsidP="00007562">
            <w:pPr>
              <w:spacing w:after="120"/>
            </w:pPr>
            <w:r>
              <w:t>Special Educational Need</w:t>
            </w:r>
            <w:r w:rsidR="00576E33">
              <w:t>s</w:t>
            </w:r>
          </w:p>
        </w:tc>
      </w:tr>
      <w:tr w:rsidR="00AE7FDE" w14:paraId="70046C23" w14:textId="77777777" w:rsidTr="00EE1E08">
        <w:tc>
          <w:tcPr>
            <w:tcW w:w="1413" w:type="dxa"/>
          </w:tcPr>
          <w:p w14:paraId="1E5AF2B6" w14:textId="77777777" w:rsidR="00AE7FDE" w:rsidRPr="005902A3" w:rsidRDefault="00AE7FDE" w:rsidP="00007562">
            <w:pPr>
              <w:spacing w:after="120"/>
              <w:rPr>
                <w:b/>
              </w:rPr>
            </w:pPr>
            <w:r w:rsidRPr="005902A3">
              <w:rPr>
                <w:b/>
              </w:rPr>
              <w:t>SEND</w:t>
            </w:r>
          </w:p>
        </w:tc>
        <w:tc>
          <w:tcPr>
            <w:tcW w:w="7603" w:type="dxa"/>
          </w:tcPr>
          <w:p w14:paraId="221DE5C5" w14:textId="77777777" w:rsidR="00AE7FDE" w:rsidRDefault="00AE7FDE" w:rsidP="00007562">
            <w:pPr>
              <w:spacing w:after="120"/>
            </w:pPr>
            <w:r>
              <w:t>Special Educational Needs and Disabilities</w:t>
            </w:r>
          </w:p>
        </w:tc>
      </w:tr>
      <w:tr w:rsidR="00AE7FDE" w14:paraId="408B6B4F" w14:textId="77777777" w:rsidTr="00EE1E08">
        <w:tc>
          <w:tcPr>
            <w:tcW w:w="1413" w:type="dxa"/>
          </w:tcPr>
          <w:p w14:paraId="74B5760B" w14:textId="77777777" w:rsidR="00AE7FDE" w:rsidRPr="005902A3" w:rsidRDefault="00AE7FDE" w:rsidP="00007562">
            <w:pPr>
              <w:spacing w:after="120"/>
              <w:rPr>
                <w:b/>
              </w:rPr>
            </w:pPr>
            <w:r w:rsidRPr="005902A3">
              <w:rPr>
                <w:b/>
              </w:rPr>
              <w:t>SLD</w:t>
            </w:r>
          </w:p>
        </w:tc>
        <w:tc>
          <w:tcPr>
            <w:tcW w:w="7603" w:type="dxa"/>
          </w:tcPr>
          <w:p w14:paraId="707E8399" w14:textId="77777777" w:rsidR="00AE7FDE" w:rsidRDefault="00AE7FDE" w:rsidP="00007562">
            <w:pPr>
              <w:spacing w:after="120"/>
            </w:pPr>
            <w:r>
              <w:t>Severe Learning Difficulties</w:t>
            </w:r>
          </w:p>
        </w:tc>
      </w:tr>
      <w:tr w:rsidR="00AE7FDE" w14:paraId="033AC07B" w14:textId="77777777" w:rsidTr="00EE1E08">
        <w:tc>
          <w:tcPr>
            <w:tcW w:w="1413" w:type="dxa"/>
          </w:tcPr>
          <w:p w14:paraId="3FA090BD" w14:textId="77777777" w:rsidR="00AE7FDE" w:rsidRPr="005902A3" w:rsidRDefault="00AE7FDE" w:rsidP="00007562">
            <w:pPr>
              <w:spacing w:after="120"/>
              <w:rPr>
                <w:b/>
              </w:rPr>
            </w:pPr>
            <w:r w:rsidRPr="005902A3">
              <w:rPr>
                <w:b/>
              </w:rPr>
              <w:t>TA</w:t>
            </w:r>
          </w:p>
        </w:tc>
        <w:tc>
          <w:tcPr>
            <w:tcW w:w="7603" w:type="dxa"/>
          </w:tcPr>
          <w:p w14:paraId="0DDD70BD" w14:textId="77777777" w:rsidR="00AE7FDE" w:rsidRDefault="00AE7FDE" w:rsidP="00007562">
            <w:pPr>
              <w:spacing w:after="120"/>
            </w:pPr>
            <w:r>
              <w:t>Teaching Assistant</w:t>
            </w:r>
          </w:p>
        </w:tc>
      </w:tr>
      <w:tr w:rsidR="00AE7FDE" w14:paraId="4E9A7545" w14:textId="77777777" w:rsidTr="00EE1E08">
        <w:tc>
          <w:tcPr>
            <w:tcW w:w="1413" w:type="dxa"/>
          </w:tcPr>
          <w:p w14:paraId="7FF6DC89" w14:textId="77777777" w:rsidR="00AE7FDE" w:rsidRPr="005902A3" w:rsidRDefault="00AE7FDE" w:rsidP="00007562">
            <w:pPr>
              <w:spacing w:after="120"/>
              <w:rPr>
                <w:b/>
              </w:rPr>
            </w:pPr>
            <w:proofErr w:type="spellStart"/>
            <w:r w:rsidRPr="005902A3">
              <w:rPr>
                <w:b/>
              </w:rPr>
              <w:t>ToD</w:t>
            </w:r>
            <w:proofErr w:type="spellEnd"/>
          </w:p>
        </w:tc>
        <w:tc>
          <w:tcPr>
            <w:tcW w:w="7603" w:type="dxa"/>
          </w:tcPr>
          <w:p w14:paraId="3C777A45" w14:textId="1544991E" w:rsidR="006E3225" w:rsidRPr="006E3225" w:rsidRDefault="00AE7FDE" w:rsidP="00007562">
            <w:pPr>
              <w:spacing w:after="120"/>
            </w:pPr>
            <w:r>
              <w:t>Teacher of the Deaf</w:t>
            </w:r>
          </w:p>
        </w:tc>
      </w:tr>
      <w:tr w:rsidR="00AE7FDE" w14:paraId="026E053B" w14:textId="77777777" w:rsidTr="00EE1E08">
        <w:tc>
          <w:tcPr>
            <w:tcW w:w="1413" w:type="dxa"/>
          </w:tcPr>
          <w:p w14:paraId="1691A77E" w14:textId="77777777" w:rsidR="00AE7FDE" w:rsidRPr="005902A3" w:rsidRDefault="00AE7FDE" w:rsidP="00007562">
            <w:pPr>
              <w:spacing w:after="120"/>
              <w:rPr>
                <w:b/>
              </w:rPr>
            </w:pPr>
            <w:r w:rsidRPr="005902A3">
              <w:rPr>
                <w:b/>
              </w:rPr>
              <w:t>VI</w:t>
            </w:r>
          </w:p>
        </w:tc>
        <w:tc>
          <w:tcPr>
            <w:tcW w:w="7603" w:type="dxa"/>
          </w:tcPr>
          <w:p w14:paraId="6CD354ED" w14:textId="77777777" w:rsidR="00AE7FDE" w:rsidRDefault="00AE7FDE" w:rsidP="00007562">
            <w:pPr>
              <w:spacing w:after="120"/>
            </w:pPr>
            <w:r>
              <w:t>Vision Impairment</w:t>
            </w:r>
          </w:p>
        </w:tc>
      </w:tr>
    </w:tbl>
    <w:p w14:paraId="624E9D48" w14:textId="77777777" w:rsidR="00BF6798" w:rsidRDefault="00BF6798" w:rsidP="00585804"/>
    <w:p w14:paraId="2E0CC1E9" w14:textId="77777777" w:rsidR="00BF6798" w:rsidRPr="00585804" w:rsidRDefault="00BF6798" w:rsidP="00585804"/>
    <w:p w14:paraId="666AFFA0" w14:textId="77777777" w:rsidR="00A02ADB" w:rsidRDefault="00584DDF" w:rsidP="00494C68">
      <w:pPr>
        <w:pStyle w:val="Heading1"/>
      </w:pPr>
      <w:bookmarkStart w:id="15" w:name="_Toc19300776"/>
      <w:r>
        <w:lastRenderedPageBreak/>
        <w:t xml:space="preserve">1. </w:t>
      </w:r>
      <w:r w:rsidR="00A02ADB">
        <w:t>Introduction</w:t>
      </w:r>
      <w:bookmarkEnd w:id="15"/>
    </w:p>
    <w:p w14:paraId="31DD8B0C" w14:textId="3C0C9282" w:rsidR="00A02ADB" w:rsidRDefault="00A02ADB" w:rsidP="00A02ADB">
      <w:r>
        <w:t xml:space="preserve">Provision for specialist educational support for children with vision impairment is </w:t>
      </w:r>
      <w:r w:rsidR="00EF2C91">
        <w:t>essential</w:t>
      </w:r>
      <w:r>
        <w:t xml:space="preserve"> to ensure </w:t>
      </w:r>
      <w:r w:rsidR="00025BF7">
        <w:t>they</w:t>
      </w:r>
      <w:r>
        <w:t xml:space="preserve"> are not disadvantaged in their education. In order to better understand </w:t>
      </w:r>
      <w:r w:rsidR="00025BF7">
        <w:t xml:space="preserve">and monitor </w:t>
      </w:r>
      <w:r>
        <w:t xml:space="preserve">the </w:t>
      </w:r>
      <w:r w:rsidR="00E357A4">
        <w:t>provision of specialist education services</w:t>
      </w:r>
      <w:r w:rsidR="00025BF7">
        <w:t xml:space="preserve"> for children with a </w:t>
      </w:r>
      <w:r w:rsidR="000649C8">
        <w:t>vision</w:t>
      </w:r>
      <w:r w:rsidR="00025BF7">
        <w:t xml:space="preserve"> impairment</w:t>
      </w:r>
      <w:r>
        <w:t>, RNIB runs an annual survey o</w:t>
      </w:r>
      <w:r w:rsidR="00025BF7">
        <w:t>f</w:t>
      </w:r>
      <w:r>
        <w:t xml:space="preserve"> local authorit</w:t>
      </w:r>
      <w:r w:rsidR="00025BF7">
        <w:t xml:space="preserve">ies </w:t>
      </w:r>
      <w:r>
        <w:t>across England</w:t>
      </w:r>
      <w:r w:rsidR="00025BF7">
        <w:t>.</w:t>
      </w:r>
      <w:r>
        <w:t xml:space="preserve"> This </w:t>
      </w:r>
      <w:r w:rsidR="0033393B">
        <w:t>report</w:t>
      </w:r>
      <w:r>
        <w:t xml:space="preserve"> summarises findings from the most recent Freedom of Information </w:t>
      </w:r>
      <w:r w:rsidR="009C504A">
        <w:t xml:space="preserve">(FOI) </w:t>
      </w:r>
      <w:r>
        <w:t>survey in 2019.</w:t>
      </w:r>
    </w:p>
    <w:p w14:paraId="1B2C10BF" w14:textId="77777777" w:rsidR="00A02ADB" w:rsidRDefault="00A02ADB" w:rsidP="00A02ADB"/>
    <w:p w14:paraId="048B2A82" w14:textId="1D93326E" w:rsidR="00A02ADB" w:rsidRDefault="00584DDF" w:rsidP="00494C68">
      <w:pPr>
        <w:pStyle w:val="Heading1"/>
      </w:pPr>
      <w:bookmarkStart w:id="16" w:name="_Toc19300777"/>
      <w:r>
        <w:t xml:space="preserve">2. </w:t>
      </w:r>
      <w:r w:rsidR="00B366EC">
        <w:t>Key findings</w:t>
      </w:r>
      <w:bookmarkEnd w:id="16"/>
    </w:p>
    <w:p w14:paraId="78F54F56" w14:textId="28598739" w:rsidR="004F0150" w:rsidRPr="00DD2B37" w:rsidRDefault="00E42DBF" w:rsidP="005F1BC0">
      <w:pPr>
        <w:pStyle w:val="ListBullet"/>
        <w:numPr>
          <w:ilvl w:val="0"/>
          <w:numId w:val="0"/>
        </w:numPr>
        <w:rPr>
          <w:b/>
        </w:rPr>
      </w:pPr>
      <w:r>
        <w:rPr>
          <w:b/>
        </w:rPr>
        <w:t>Service provision</w:t>
      </w:r>
    </w:p>
    <w:p w14:paraId="00E58A0B" w14:textId="05795DAC" w:rsidR="00316478" w:rsidRDefault="00316478" w:rsidP="00316478">
      <w:pPr>
        <w:pStyle w:val="ListBullet"/>
      </w:pPr>
      <w:r>
        <w:t>Over the past two years, a quarter (23%) of local authorities have cut funding for their VI service.</w:t>
      </w:r>
    </w:p>
    <w:p w14:paraId="00ED82AB" w14:textId="37AE87CF" w:rsidR="00316478" w:rsidRDefault="00316478" w:rsidP="00316478">
      <w:pPr>
        <w:pStyle w:val="ListBullet"/>
      </w:pPr>
      <w:r>
        <w:t>A further 21% have frozen their budgets</w:t>
      </w:r>
      <w:r w:rsidR="00EF2C91">
        <w:t>.</w:t>
      </w:r>
      <w:r>
        <w:t xml:space="preserve"> </w:t>
      </w:r>
    </w:p>
    <w:p w14:paraId="7D0C8A4C" w14:textId="77777777" w:rsidR="008B640D" w:rsidRDefault="008B640D" w:rsidP="008B640D">
      <w:pPr>
        <w:pStyle w:val="ListBullet"/>
      </w:pPr>
      <w:r>
        <w:t xml:space="preserve">When inflation is accounted for over the same period, it reveals that three quarters of local authorities cut or have not increased funding for their VI service in line with inflation. </w:t>
      </w:r>
    </w:p>
    <w:p w14:paraId="1D6DFCA6" w14:textId="47146397" w:rsidR="00B527CA" w:rsidRPr="0077372D" w:rsidRDefault="00B527CA" w:rsidP="00B527CA">
      <w:pPr>
        <w:pStyle w:val="ListBullet"/>
        <w:rPr>
          <w:b/>
        </w:rPr>
      </w:pPr>
      <w:r>
        <w:t xml:space="preserve">Over 5,000 children and young people with vision impairment are supported by services where budgets have been cut in the last two years. A further 13,300 CYP are </w:t>
      </w:r>
      <w:r w:rsidR="00A83EB2">
        <w:t>accessing</w:t>
      </w:r>
      <w:r>
        <w:t xml:space="preserve"> services that have failed to keep their budgets in line with inflation, meaning real term cuts to funding. </w:t>
      </w:r>
      <w:r w:rsidR="00574F11">
        <w:t xml:space="preserve">In total, these children make up 61% of </w:t>
      </w:r>
      <w:r w:rsidR="00BE673F">
        <w:t>all children supported by VI services across England.</w:t>
      </w:r>
    </w:p>
    <w:p w14:paraId="3007F6A0" w14:textId="0A72A9CD" w:rsidR="005F1BC0" w:rsidRDefault="00316478" w:rsidP="002E1D4E">
      <w:pPr>
        <w:pStyle w:val="ListBullet"/>
      </w:pPr>
      <w:r>
        <w:t xml:space="preserve">There could be further cuts in the pipeline with a quarter (24%) of LAs </w:t>
      </w:r>
      <w:r w:rsidR="00270C01">
        <w:t>reporting</w:t>
      </w:r>
      <w:r>
        <w:t xml:space="preserve"> there are current or proposed reviews of the VI service that will affect the way it is organised, managed or funded. </w:t>
      </w:r>
    </w:p>
    <w:p w14:paraId="4D9D4756" w14:textId="77777777" w:rsidR="005F1BC0" w:rsidRDefault="005F1BC0" w:rsidP="005F1BC0">
      <w:pPr>
        <w:pStyle w:val="ListBullet"/>
        <w:numPr>
          <w:ilvl w:val="0"/>
          <w:numId w:val="0"/>
        </w:numPr>
        <w:ind w:left="360" w:hanging="360"/>
      </w:pPr>
    </w:p>
    <w:p w14:paraId="2411C96E" w14:textId="18B5F8C6" w:rsidR="009A4D4C" w:rsidRPr="00DD2B37" w:rsidRDefault="009A4D4C" w:rsidP="005F1BC0">
      <w:pPr>
        <w:pStyle w:val="ListBullet"/>
        <w:numPr>
          <w:ilvl w:val="0"/>
          <w:numId w:val="0"/>
        </w:numPr>
        <w:rPr>
          <w:b/>
        </w:rPr>
      </w:pPr>
      <w:r w:rsidRPr="00DD2B37">
        <w:rPr>
          <w:b/>
        </w:rPr>
        <w:t xml:space="preserve">CYP </w:t>
      </w:r>
      <w:r w:rsidR="00AF098A">
        <w:rPr>
          <w:b/>
        </w:rPr>
        <w:t>supported by the service</w:t>
      </w:r>
    </w:p>
    <w:p w14:paraId="77287FC2" w14:textId="596A7FC4" w:rsidR="00F040AF" w:rsidRDefault="00F040AF" w:rsidP="00F040AF">
      <w:pPr>
        <w:pStyle w:val="ListBullet"/>
        <w:rPr>
          <w:lang w:eastAsia="en-GB"/>
        </w:rPr>
      </w:pPr>
      <w:r w:rsidRPr="0061253C">
        <w:t xml:space="preserve">The total number of pupils aged 0-25 on vision impairment service caseloads, or known to these services, was </w:t>
      </w:r>
      <w:r w:rsidR="009107C6" w:rsidRPr="009107C6">
        <w:t>30,326</w:t>
      </w:r>
      <w:r w:rsidRPr="0061253C">
        <w:t xml:space="preserve">. </w:t>
      </w:r>
      <w:r>
        <w:t>This is likely to be an under estimate</w:t>
      </w:r>
      <w:r w:rsidR="007B3B4C">
        <w:t xml:space="preserve"> as not all </w:t>
      </w:r>
      <w:r w:rsidR="003E012A">
        <w:t>local</w:t>
      </w:r>
      <w:r w:rsidR="00A33E31">
        <w:t xml:space="preserve"> </w:t>
      </w:r>
      <w:r w:rsidR="007B3B4C">
        <w:t>authorities responded,</w:t>
      </w:r>
      <w:r>
        <w:t xml:space="preserve"> however it still represents a </w:t>
      </w:r>
      <w:r w:rsidR="004F0150">
        <w:t>7</w:t>
      </w:r>
      <w:r w:rsidR="005965D6">
        <w:t>%</w:t>
      </w:r>
      <w:r>
        <w:t xml:space="preserve"> increase from 2017 when data was last collected in full.</w:t>
      </w:r>
    </w:p>
    <w:p w14:paraId="6EC23249" w14:textId="53E823C3" w:rsidR="009A4D4C" w:rsidRDefault="00F040AF" w:rsidP="00F040AF">
      <w:pPr>
        <w:pStyle w:val="ListBullet"/>
        <w:rPr>
          <w:lang w:eastAsia="en-GB"/>
        </w:rPr>
      </w:pPr>
      <w:r w:rsidRPr="006732DE">
        <w:t xml:space="preserve">The total number of </w:t>
      </w:r>
      <w:proofErr w:type="spellStart"/>
      <w:r w:rsidRPr="006732DE">
        <w:t>braillists</w:t>
      </w:r>
      <w:proofErr w:type="spellEnd"/>
      <w:r>
        <w:t xml:space="preserve"> supported</w:t>
      </w:r>
      <w:r w:rsidRPr="006732DE">
        <w:t xml:space="preserve"> across 1</w:t>
      </w:r>
      <w:r w:rsidR="007F41FC">
        <w:t>20</w:t>
      </w:r>
      <w:r w:rsidRPr="006732DE">
        <w:t xml:space="preserve"> local authorities was 8</w:t>
      </w:r>
      <w:r w:rsidR="007F41FC">
        <w:t>6</w:t>
      </w:r>
      <w:r w:rsidRPr="006732DE">
        <w:t xml:space="preserve">9. </w:t>
      </w:r>
      <w:r>
        <w:t>This figure would likely be much higher if figures were available for the remaining 3</w:t>
      </w:r>
      <w:r w:rsidR="00694179">
        <w:t>2</w:t>
      </w:r>
      <w:r>
        <w:t xml:space="preserve"> authorities</w:t>
      </w:r>
      <w:r w:rsidR="003E012A">
        <w:t xml:space="preserve"> who did not su</w:t>
      </w:r>
      <w:r w:rsidR="00557DAF">
        <w:t>p</w:t>
      </w:r>
      <w:r w:rsidR="003E012A">
        <w:t>ply figures</w:t>
      </w:r>
      <w:r>
        <w:t xml:space="preserve">. </w:t>
      </w:r>
    </w:p>
    <w:p w14:paraId="43ED5AA0" w14:textId="77777777" w:rsidR="009A4D4C" w:rsidRDefault="009A4D4C" w:rsidP="003F79AB">
      <w:pPr>
        <w:pStyle w:val="ListBullet"/>
        <w:numPr>
          <w:ilvl w:val="0"/>
          <w:numId w:val="0"/>
        </w:numPr>
        <w:rPr>
          <w:lang w:eastAsia="en-GB"/>
        </w:rPr>
      </w:pPr>
    </w:p>
    <w:p w14:paraId="6CD28F94" w14:textId="14D78F08" w:rsidR="00F040AF" w:rsidRPr="00DD2B37" w:rsidRDefault="009A4D4C" w:rsidP="003F79AB">
      <w:pPr>
        <w:pStyle w:val="ListBullet"/>
        <w:numPr>
          <w:ilvl w:val="0"/>
          <w:numId w:val="0"/>
        </w:numPr>
        <w:rPr>
          <w:b/>
          <w:lang w:eastAsia="en-GB"/>
        </w:rPr>
      </w:pPr>
      <w:r w:rsidRPr="00DD2B37">
        <w:rPr>
          <w:b/>
        </w:rPr>
        <w:t>Caseload and capacity</w:t>
      </w:r>
    </w:p>
    <w:p w14:paraId="26CFD4D0" w14:textId="62F34E5F" w:rsidR="00BA3E94" w:rsidRPr="00231825" w:rsidRDefault="00BA3E94" w:rsidP="00BA3E94">
      <w:pPr>
        <w:pStyle w:val="ListBullet"/>
      </w:pPr>
      <w:r w:rsidRPr="00405E26">
        <w:t>Just over a quarter (2</w:t>
      </w:r>
      <w:r w:rsidR="00727BF8">
        <w:t>8</w:t>
      </w:r>
      <w:r w:rsidRPr="00405E26">
        <w:t>%) of</w:t>
      </w:r>
      <w:r>
        <w:t xml:space="preserve"> </w:t>
      </w:r>
      <w:r w:rsidRPr="00405E26">
        <w:t>1</w:t>
      </w:r>
      <w:r w:rsidR="00727BF8">
        <w:t>29</w:t>
      </w:r>
      <w:r w:rsidRPr="00405E26">
        <w:t xml:space="preserve"> local authorities had an average </w:t>
      </w:r>
      <w:r>
        <w:t xml:space="preserve">QTVI </w:t>
      </w:r>
      <w:r w:rsidRPr="00405E26">
        <w:t>caseload ratio of over 100</w:t>
      </w:r>
      <w:r>
        <w:t xml:space="preserve">, </w:t>
      </w:r>
      <w:r w:rsidR="00DE2A92">
        <w:t>which is equivalent</w:t>
      </w:r>
      <w:r w:rsidR="00514392">
        <w:t xml:space="preserve"> to</w:t>
      </w:r>
      <w:r>
        <w:t xml:space="preserve"> 63 FTE QTVI</w:t>
      </w:r>
      <w:r w:rsidR="00A80497">
        <w:t xml:space="preserve"> </w:t>
      </w:r>
      <w:r>
        <w:lastRenderedPageBreak/>
        <w:t>posts</w:t>
      </w:r>
      <w:r w:rsidRPr="00231825">
        <w:t xml:space="preserve">. </w:t>
      </w:r>
      <w:r w:rsidR="00831292" w:rsidRPr="00231825">
        <w:t xml:space="preserve">This figure has increased from </w:t>
      </w:r>
      <w:r w:rsidR="002047D4" w:rsidRPr="00231825">
        <w:t>21</w:t>
      </w:r>
      <w:r w:rsidR="00831292" w:rsidRPr="00231825">
        <w:t>%</w:t>
      </w:r>
      <w:r w:rsidR="009F756E" w:rsidRPr="00231825">
        <w:t xml:space="preserve"> in 2017, which was </w:t>
      </w:r>
      <w:r w:rsidR="004F19EF" w:rsidRPr="00231825">
        <w:t>equi</w:t>
      </w:r>
      <w:r w:rsidR="009532B0" w:rsidRPr="00231825">
        <w:t xml:space="preserve">valent to </w:t>
      </w:r>
      <w:r w:rsidR="00C2718D" w:rsidRPr="00231825">
        <w:t>43.2</w:t>
      </w:r>
      <w:r w:rsidR="009532B0" w:rsidRPr="00231825">
        <w:t xml:space="preserve"> FTE QTVI posts.</w:t>
      </w:r>
      <w:r w:rsidR="00831292" w:rsidRPr="00231825">
        <w:t xml:space="preserve"> </w:t>
      </w:r>
      <w:r w:rsidRPr="00231825">
        <w:t>A ratio of over 100 students per QTVI raises concerns about capacity to support high numbers of students.</w:t>
      </w:r>
    </w:p>
    <w:p w14:paraId="27652376" w14:textId="675791FD" w:rsidR="00394BB8" w:rsidRPr="00231825" w:rsidRDefault="003C600A" w:rsidP="00BC2259">
      <w:pPr>
        <w:pStyle w:val="ListBullet"/>
      </w:pPr>
      <w:r w:rsidRPr="00231825">
        <w:t xml:space="preserve">Over the past two years, </w:t>
      </w:r>
      <w:r w:rsidR="000D6115" w:rsidRPr="00231825">
        <w:t>43%</w:t>
      </w:r>
      <w:r w:rsidRPr="00231825">
        <w:t xml:space="preserve"> of</w:t>
      </w:r>
      <w:r w:rsidR="00A46208" w:rsidRPr="00231825">
        <w:t xml:space="preserve"> local</w:t>
      </w:r>
      <w:r w:rsidRPr="00231825">
        <w:t xml:space="preserve"> authorities recorded a decrease in the FTE QTVI posts.</w:t>
      </w:r>
      <w:r w:rsidR="00BC2259" w:rsidRPr="00231825">
        <w:t xml:space="preserve"> </w:t>
      </w:r>
      <w:r w:rsidR="00C7756D" w:rsidRPr="00231825">
        <w:t>Across these authorities, almost 50</w:t>
      </w:r>
      <w:r w:rsidR="00A2419A" w:rsidRPr="00231825">
        <w:t xml:space="preserve"> FTE QTVI posts </w:t>
      </w:r>
      <w:r w:rsidR="00C7756D" w:rsidRPr="00231825">
        <w:t>were lost from</w:t>
      </w:r>
      <w:r w:rsidR="00A2419A" w:rsidRPr="00231825">
        <w:t xml:space="preserve"> 2017 to 2019.</w:t>
      </w:r>
    </w:p>
    <w:p w14:paraId="376927D3" w14:textId="31CE2BD9" w:rsidR="00E87E4F" w:rsidRDefault="00E87E4F" w:rsidP="00D56349">
      <w:pPr>
        <w:pStyle w:val="ListBullet"/>
      </w:pPr>
      <w:r>
        <w:t>When asked about reduction in support</w:t>
      </w:r>
      <w:r w:rsidR="0072603C">
        <w:t xml:space="preserve">, </w:t>
      </w:r>
      <w:r w:rsidR="00E26244">
        <w:t xml:space="preserve">a quarter </w:t>
      </w:r>
      <w:r w:rsidR="00353639">
        <w:t xml:space="preserve">(23%) </w:t>
      </w:r>
      <w:r w:rsidR="00E26244">
        <w:t xml:space="preserve">of authorities have reduced support for children due to </w:t>
      </w:r>
      <w:r w:rsidR="002C1B63" w:rsidRPr="00D56349">
        <w:t xml:space="preserve">service capacity </w:t>
      </w:r>
      <w:r w:rsidR="002C1B63">
        <w:t>or</w:t>
      </w:r>
      <w:r w:rsidR="002C1B63" w:rsidRPr="00D56349">
        <w:t xml:space="preserve"> service restructure</w:t>
      </w:r>
      <w:r w:rsidR="002C1B63">
        <w:t>.</w:t>
      </w:r>
    </w:p>
    <w:p w14:paraId="6A87C15A" w14:textId="5B532881" w:rsidR="00D56349" w:rsidRDefault="00C7745A" w:rsidP="002E1D4E">
      <w:pPr>
        <w:pStyle w:val="ListBullet"/>
      </w:pPr>
      <w:r>
        <w:t xml:space="preserve">16% of </w:t>
      </w:r>
      <w:r w:rsidR="00A33E31">
        <w:t xml:space="preserve">VI </w:t>
      </w:r>
      <w:r>
        <w:t xml:space="preserve">service managers </w:t>
      </w:r>
      <w:r w:rsidR="003F357A">
        <w:t xml:space="preserve">do not </w:t>
      </w:r>
      <w:r>
        <w:t>hold</w:t>
      </w:r>
      <w:r w:rsidR="003F357A">
        <w:t xml:space="preserve"> a</w:t>
      </w:r>
      <w:r w:rsidR="003E012A">
        <w:t xml:space="preserve"> mandatory qualification for VI, MSI or HI</w:t>
      </w:r>
      <w:r w:rsidR="001A3CD1">
        <w:t>.</w:t>
      </w:r>
    </w:p>
    <w:p w14:paraId="1B89FB10" w14:textId="77777777" w:rsidR="002442AF" w:rsidRDefault="002442AF" w:rsidP="002442AF">
      <w:pPr>
        <w:pStyle w:val="ListBullet"/>
        <w:numPr>
          <w:ilvl w:val="0"/>
          <w:numId w:val="0"/>
        </w:numPr>
        <w:ind w:left="360" w:hanging="360"/>
      </w:pPr>
    </w:p>
    <w:p w14:paraId="17714C30" w14:textId="77777777" w:rsidR="00A02ADB" w:rsidRDefault="00584DDF" w:rsidP="00494C68">
      <w:pPr>
        <w:pStyle w:val="Heading1"/>
      </w:pPr>
      <w:bookmarkStart w:id="17" w:name="_Toc19300778"/>
      <w:r>
        <w:t xml:space="preserve">3. </w:t>
      </w:r>
      <w:r w:rsidR="00A02ADB">
        <w:t>Method</w:t>
      </w:r>
      <w:bookmarkEnd w:id="17"/>
    </w:p>
    <w:p w14:paraId="708489D4" w14:textId="5701C176" w:rsidR="00A02ADB" w:rsidRDefault="00A02ADB" w:rsidP="00A02ADB">
      <w:r>
        <w:t xml:space="preserve">In </w:t>
      </w:r>
      <w:r w:rsidR="00956CB0">
        <w:t>May 2019</w:t>
      </w:r>
      <w:r>
        <w:t>, RNIB contacted all 152 local authorities in England, asking a range of questions about current and future education provision for children and young people with vision impairment. 1</w:t>
      </w:r>
      <w:r w:rsidR="00956CB0">
        <w:t>4</w:t>
      </w:r>
      <w:r w:rsidR="006732DE">
        <w:t>7</w:t>
      </w:r>
      <w:r>
        <w:t xml:space="preserve"> of the 152 local authorities in England responded</w:t>
      </w:r>
      <w:r w:rsidR="00956CB0">
        <w:t xml:space="preserve"> or had a response provided from a consortium</w:t>
      </w:r>
      <w:r>
        <w:t xml:space="preserve">, a response rate of </w:t>
      </w:r>
      <w:r w:rsidR="00956CB0">
        <w:t>97</w:t>
      </w:r>
      <w:r>
        <w:t>%.</w:t>
      </w:r>
      <w:r w:rsidR="00956CB0">
        <w:t xml:space="preserve"> This is a marked increase on the </w:t>
      </w:r>
      <w:r w:rsidR="002901B2">
        <w:t xml:space="preserve">74% </w:t>
      </w:r>
      <w:r w:rsidR="00956CB0">
        <w:t>response rate of 2018</w:t>
      </w:r>
      <w:r w:rsidR="008D43B6">
        <w:t xml:space="preserve"> (Edwards, 2019)</w:t>
      </w:r>
      <w:r w:rsidR="00956CB0">
        <w:t xml:space="preserve">. </w:t>
      </w:r>
    </w:p>
    <w:p w14:paraId="27A8734B" w14:textId="77777777" w:rsidR="00956CB0" w:rsidRDefault="00956CB0" w:rsidP="00A02ADB"/>
    <w:p w14:paraId="045BBFAB" w14:textId="2B5555E1" w:rsidR="00956CB0" w:rsidRDefault="00956CB0" w:rsidP="00A02ADB">
      <w:r>
        <w:t>To allow for the difference in response rates</w:t>
      </w:r>
      <w:r w:rsidR="00817F69">
        <w:t xml:space="preserve"> between 2018 and 2019</w:t>
      </w:r>
      <w:r>
        <w:t xml:space="preserve">, </w:t>
      </w:r>
      <w:r w:rsidR="001342CF">
        <w:t>this report will make</w:t>
      </w:r>
      <w:r>
        <w:t xml:space="preserve"> comparisons with responses from the 2017 FOI </w:t>
      </w:r>
      <w:r w:rsidR="00F14C42">
        <w:t xml:space="preserve">request </w:t>
      </w:r>
      <w:r w:rsidR="008F4BFD">
        <w:t>to better understand trends. A</w:t>
      </w:r>
      <w:r>
        <w:t xml:space="preserve"> similar near 100% response rate was achieved</w:t>
      </w:r>
      <w:r w:rsidR="008F4BFD">
        <w:t xml:space="preserve"> in 2017</w:t>
      </w:r>
      <w:r w:rsidR="00295CC5">
        <w:t xml:space="preserve"> (Flynn, 2018)</w:t>
      </w:r>
      <w:r>
        <w:t>.</w:t>
      </w:r>
    </w:p>
    <w:p w14:paraId="14F4F772" w14:textId="14C58DC9" w:rsidR="00E357A4" w:rsidRDefault="00E357A4" w:rsidP="00A02ADB"/>
    <w:p w14:paraId="7ACCEB73" w14:textId="3A647215" w:rsidR="00364764" w:rsidRDefault="00E357A4" w:rsidP="00A02ADB">
      <w:r>
        <w:t xml:space="preserve">Following the FOI request, we also circulated a feedback questionnaire, to enable improvements to the structure and questions </w:t>
      </w:r>
      <w:r w:rsidR="00E07FD3">
        <w:t>in future FOI</w:t>
      </w:r>
      <w:r w:rsidR="00BB7C9F">
        <w:t xml:space="preserve"> requests</w:t>
      </w:r>
      <w:r w:rsidR="00E07FD3">
        <w:t>.</w:t>
      </w:r>
      <w:r w:rsidR="00256FEE">
        <w:t xml:space="preserve"> </w:t>
      </w:r>
    </w:p>
    <w:p w14:paraId="783444E1" w14:textId="77777777" w:rsidR="00364764" w:rsidRDefault="00364764" w:rsidP="00A02ADB"/>
    <w:p w14:paraId="51AA3A8A" w14:textId="77777777" w:rsidR="00A02ADB" w:rsidRDefault="00584DDF" w:rsidP="00494C68">
      <w:pPr>
        <w:pStyle w:val="Heading1"/>
      </w:pPr>
      <w:bookmarkStart w:id="18" w:name="_Toc19300779"/>
      <w:r>
        <w:t xml:space="preserve">4. </w:t>
      </w:r>
      <w:r w:rsidR="00A02ADB">
        <w:t>Findings</w:t>
      </w:r>
      <w:bookmarkEnd w:id="18"/>
    </w:p>
    <w:p w14:paraId="14469B5C" w14:textId="77777777" w:rsidR="00A02ADB" w:rsidRDefault="00584DDF" w:rsidP="00B366EC">
      <w:pPr>
        <w:pStyle w:val="Heading2"/>
      </w:pPr>
      <w:bookmarkStart w:id="19" w:name="_Toc19300780"/>
      <w:r>
        <w:t xml:space="preserve">4.1 </w:t>
      </w:r>
      <w:r w:rsidR="00A02ADB">
        <w:t>Service provision</w:t>
      </w:r>
      <w:r w:rsidR="00456ACD">
        <w:t xml:space="preserve"> and organisation</w:t>
      </w:r>
      <w:bookmarkEnd w:id="19"/>
    </w:p>
    <w:p w14:paraId="73C2D9AF" w14:textId="77777777" w:rsidR="00D62AEA" w:rsidRDefault="00D62AEA" w:rsidP="00D62AEA">
      <w:pPr>
        <w:pStyle w:val="Heading3"/>
      </w:pPr>
      <w:r>
        <w:t>Summary</w:t>
      </w:r>
    </w:p>
    <w:p w14:paraId="20E6C976" w14:textId="10F824A3" w:rsidR="00512ABD" w:rsidRDefault="00512ABD" w:rsidP="00D62AEA">
      <w:pPr>
        <w:pStyle w:val="ListBullet"/>
      </w:pPr>
      <w:r>
        <w:t xml:space="preserve">Of the 12% of authorities that </w:t>
      </w:r>
      <w:r w:rsidR="00B5452C">
        <w:t>have</w:t>
      </w:r>
      <w:r w:rsidR="001A732C">
        <w:t xml:space="preserve"> made</w:t>
      </w:r>
      <w:r w:rsidR="00B5452C">
        <w:t xml:space="preserve"> change</w:t>
      </w:r>
      <w:r w:rsidR="001A732C">
        <w:t>s to</w:t>
      </w:r>
      <w:r w:rsidR="00B5452C">
        <w:t xml:space="preserve"> services in the past 12 months, </w:t>
      </w:r>
      <w:r w:rsidR="005E17EC">
        <w:t>two out of five did not consult</w:t>
      </w:r>
      <w:r w:rsidR="00A01CA6">
        <w:t xml:space="preserve"> </w:t>
      </w:r>
      <w:r w:rsidR="005E17EC">
        <w:t xml:space="preserve">parents or VI organisations when making changes to </w:t>
      </w:r>
      <w:r w:rsidR="00CB4321">
        <w:t xml:space="preserve">their </w:t>
      </w:r>
      <w:r w:rsidR="005E17EC">
        <w:t>VI service provision.</w:t>
      </w:r>
    </w:p>
    <w:p w14:paraId="6D53D612" w14:textId="77777777" w:rsidR="0001129F" w:rsidRDefault="0001129F" w:rsidP="0001129F">
      <w:pPr>
        <w:pStyle w:val="ListBullet"/>
      </w:pPr>
      <w:r>
        <w:t xml:space="preserve">Over the past two years, a quarter (23%) of local authorities have cut funding for their VI service. </w:t>
      </w:r>
    </w:p>
    <w:p w14:paraId="44485F0F" w14:textId="08BB7E35" w:rsidR="0001129F" w:rsidRDefault="0001129F" w:rsidP="0001129F">
      <w:pPr>
        <w:pStyle w:val="ListBullet"/>
      </w:pPr>
      <w:r>
        <w:t>A further 21% have frozen their budgets</w:t>
      </w:r>
      <w:r w:rsidR="00297F11">
        <w:t>.</w:t>
      </w:r>
      <w:r>
        <w:t xml:space="preserve"> </w:t>
      </w:r>
    </w:p>
    <w:p w14:paraId="5901FF3A" w14:textId="03AE7DF3" w:rsidR="00CE073A" w:rsidRDefault="00CE073A" w:rsidP="00CE073A">
      <w:pPr>
        <w:pStyle w:val="ListBullet"/>
      </w:pPr>
      <w:r>
        <w:lastRenderedPageBreak/>
        <w:t xml:space="preserve">When inflation is accounted for over the same period, it reveals that three quarters of local authorities cut or </w:t>
      </w:r>
      <w:r w:rsidR="00CC61C7">
        <w:t>have</w:t>
      </w:r>
      <w:r>
        <w:t xml:space="preserve"> not increase</w:t>
      </w:r>
      <w:r w:rsidR="00CC61C7">
        <w:t>d</w:t>
      </w:r>
      <w:r>
        <w:t xml:space="preserve"> funding for their VI service in line with inflation. </w:t>
      </w:r>
    </w:p>
    <w:p w14:paraId="46611CBD" w14:textId="0B0857F6" w:rsidR="0001129F" w:rsidRPr="0001129F" w:rsidRDefault="0001129F" w:rsidP="0001129F">
      <w:pPr>
        <w:pStyle w:val="ListBullet"/>
      </w:pPr>
      <w:r w:rsidRPr="0001129F">
        <w:t xml:space="preserve">Over 5,000 children and young people with vision impairment are supported by services where budgets have been cut in the last two years. A further 13,300 CYP are </w:t>
      </w:r>
      <w:r w:rsidR="00A83EB2">
        <w:t>accessing</w:t>
      </w:r>
      <w:r w:rsidRPr="0001129F">
        <w:t xml:space="preserve"> services that have failed to keep their budgets in line with inflation, meaning real term cuts to funding. In total, these children make up 61% of all children supported by VI services across England.</w:t>
      </w:r>
    </w:p>
    <w:p w14:paraId="7EAB908D" w14:textId="574391E1" w:rsidR="00526A52" w:rsidRDefault="00526A52" w:rsidP="00526A52">
      <w:pPr>
        <w:pStyle w:val="ListBullet"/>
      </w:pPr>
      <w:r>
        <w:t xml:space="preserve">There could be further cuts in the pipeline with a quarter (24%) of LAs </w:t>
      </w:r>
      <w:r w:rsidR="00270C01">
        <w:t>reporting</w:t>
      </w:r>
      <w:r>
        <w:t xml:space="preserve"> there are current or proposed reviews of the VI service that will affect the way it is organised, managed or funded. </w:t>
      </w:r>
    </w:p>
    <w:p w14:paraId="03FE8CDC" w14:textId="77777777" w:rsidR="00D62AEA" w:rsidRDefault="00D62AEA" w:rsidP="00D62AEA"/>
    <w:p w14:paraId="576E7FAE" w14:textId="77777777" w:rsidR="00A02ADB" w:rsidRDefault="00D62AEA" w:rsidP="00D62AEA">
      <w:pPr>
        <w:pStyle w:val="Heading3"/>
      </w:pPr>
      <w:r>
        <w:t>Funding arrangement</w:t>
      </w:r>
    </w:p>
    <w:p w14:paraId="4525130C" w14:textId="21974545" w:rsidR="00D62AEA" w:rsidRDefault="00D62AEA" w:rsidP="00D62AEA">
      <w:r>
        <w:t>Of the 14</w:t>
      </w:r>
      <w:r w:rsidR="00173C18">
        <w:t>7</w:t>
      </w:r>
      <w:r>
        <w:t xml:space="preserve"> local authorities that responded to the FOI</w:t>
      </w:r>
      <w:r w:rsidR="00BB7C9F">
        <w:t xml:space="preserve"> request</w:t>
      </w:r>
      <w:r>
        <w:t>, 8</w:t>
      </w:r>
      <w:r w:rsidR="00173C18">
        <w:t>7</w:t>
      </w:r>
      <w:r>
        <w:t xml:space="preserve">% centrally fund specialist support for pupils with vision impairment. </w:t>
      </w:r>
    </w:p>
    <w:p w14:paraId="3A588F39" w14:textId="77777777" w:rsidR="00D62AEA" w:rsidRDefault="00D62AEA" w:rsidP="00D62AEA"/>
    <w:p w14:paraId="727B4BB4" w14:textId="6059B8D7" w:rsidR="00D62AEA" w:rsidRDefault="00D62AEA" w:rsidP="00D62AEA">
      <w:r>
        <w:t>A minority (</w:t>
      </w:r>
      <w:r w:rsidR="00173C18">
        <w:t>3</w:t>
      </w:r>
      <w:r>
        <w:t>%) of local authorities</w:t>
      </w:r>
      <w:r w:rsidR="00C51B67">
        <w:t xml:space="preserve"> said they</w:t>
      </w:r>
      <w:r>
        <w:t xml:space="preserve"> partially delegated some or all of their funding to individual schools who purchased specialist support under the ‘traded services’ arrangement. </w:t>
      </w:r>
    </w:p>
    <w:p w14:paraId="76CF6504" w14:textId="77777777" w:rsidR="00BA0077" w:rsidRDefault="00BA0077" w:rsidP="00D62AEA"/>
    <w:p w14:paraId="354C4FA4" w14:textId="014AB4A5" w:rsidR="00BA0077" w:rsidRDefault="00D50079" w:rsidP="00D62AEA">
      <w:r>
        <w:t xml:space="preserve">And 10% of authorities did not state </w:t>
      </w:r>
      <w:r w:rsidR="005200C2">
        <w:t>whether</w:t>
      </w:r>
      <w:r>
        <w:t xml:space="preserve"> their service </w:t>
      </w:r>
      <w:r w:rsidR="000F54F4">
        <w:t xml:space="preserve">funding was </w:t>
      </w:r>
      <w:r>
        <w:t>central, partially delegated or fully delegated.</w:t>
      </w:r>
    </w:p>
    <w:p w14:paraId="2550D000" w14:textId="77777777" w:rsidR="005F37AE" w:rsidRDefault="005F37AE" w:rsidP="00D62AEA"/>
    <w:p w14:paraId="464D4B12" w14:textId="6EF7AA98" w:rsidR="00D62AEA" w:rsidRDefault="00D50079" w:rsidP="00D62AEA">
      <w:r>
        <w:t xml:space="preserve">In total, just </w:t>
      </w:r>
      <w:r w:rsidR="00D62AEA">
        <w:t xml:space="preserve">over a quarter (27%) of </w:t>
      </w:r>
      <w:r>
        <w:t xml:space="preserve">authorities </w:t>
      </w:r>
      <w:r w:rsidR="00D62AEA">
        <w:t xml:space="preserve">provided additional comments regarding their funding </w:t>
      </w:r>
      <w:r w:rsidR="00747999">
        <w:t>arrangements</w:t>
      </w:r>
      <w:r w:rsidR="00D62AEA">
        <w:t xml:space="preserve">. </w:t>
      </w:r>
      <w:r w:rsidR="00747999">
        <w:t>Common themes include</w:t>
      </w:r>
      <w:r w:rsidR="00D62AEA">
        <w:t xml:space="preserve"> </w:t>
      </w:r>
      <w:r w:rsidR="00561949">
        <w:t xml:space="preserve">consortium or joint </w:t>
      </w:r>
      <w:r w:rsidR="00D62AEA">
        <w:t xml:space="preserve">funding </w:t>
      </w:r>
      <w:r w:rsidR="00561949">
        <w:t xml:space="preserve">arrangements and </w:t>
      </w:r>
      <w:r w:rsidR="00D62AEA">
        <w:t>trade</w:t>
      </w:r>
      <w:r w:rsidR="00561949">
        <w:t>d services for</w:t>
      </w:r>
      <w:r w:rsidR="00D62AEA">
        <w:t xml:space="preserve"> some or all parts of VI support for post-16 education and further education colleges. </w:t>
      </w:r>
    </w:p>
    <w:p w14:paraId="3A27F04A" w14:textId="77777777" w:rsidR="00D62AEA" w:rsidRDefault="00D62AEA" w:rsidP="00A02ADB"/>
    <w:p w14:paraId="293A0CCB" w14:textId="77777777" w:rsidR="00D62AEA" w:rsidRDefault="00D62AEA" w:rsidP="00D62AEA">
      <w:pPr>
        <w:pStyle w:val="Heading3"/>
      </w:pPr>
      <w:r>
        <w:t>Traded services</w:t>
      </w:r>
    </w:p>
    <w:p w14:paraId="314E1566" w14:textId="6EC68361" w:rsidR="00A711C4" w:rsidRDefault="00D62AEA" w:rsidP="00DB41D4">
      <w:r>
        <w:t>Of the 1</w:t>
      </w:r>
      <w:r w:rsidR="00EE6376">
        <w:t>29</w:t>
      </w:r>
      <w:r>
        <w:t xml:space="preserve"> local authorities who responded </w:t>
      </w:r>
      <w:r w:rsidR="00EE6376">
        <w:t>the question about traded VI service support to maintained schools</w:t>
      </w:r>
      <w:r>
        <w:t xml:space="preserve">, </w:t>
      </w:r>
      <w:r w:rsidR="00C95337">
        <w:t>90</w:t>
      </w:r>
      <w:r>
        <w:t xml:space="preserve">% traded no elements of VI service support to maintained schools (including academies). </w:t>
      </w:r>
      <w:r w:rsidR="0001767C">
        <w:t xml:space="preserve">Just 2% </w:t>
      </w:r>
      <w:r>
        <w:t>fully traded VI service support to maintained schools (including academies)</w:t>
      </w:r>
      <w:r w:rsidR="003F5B02">
        <w:t xml:space="preserve"> and </w:t>
      </w:r>
      <w:r w:rsidR="00422697">
        <w:t xml:space="preserve">8% </w:t>
      </w:r>
      <w:r>
        <w:t>partially traded</w:t>
      </w:r>
      <w:r w:rsidR="00422697">
        <w:t xml:space="preserve"> support</w:t>
      </w:r>
      <w:r w:rsidR="007B2BC8">
        <w:t>.</w:t>
      </w:r>
    </w:p>
    <w:p w14:paraId="66B28BCF" w14:textId="6AAA7351" w:rsidR="00AA1FEF" w:rsidRDefault="00AA1FEF" w:rsidP="00AA1FEF">
      <w:pPr>
        <w:pStyle w:val="ListBullet"/>
        <w:numPr>
          <w:ilvl w:val="0"/>
          <w:numId w:val="0"/>
        </w:numPr>
        <w:ind w:left="360" w:hanging="360"/>
      </w:pPr>
    </w:p>
    <w:p w14:paraId="1473AC95" w14:textId="2C1206DB" w:rsidR="00D62AEA" w:rsidRDefault="00AA1FEF" w:rsidP="00321408">
      <w:r>
        <w:t xml:space="preserve">Some authorities who </w:t>
      </w:r>
      <w:r w:rsidR="00C46B44">
        <w:t>did not trade elements of VI service support to maintained schools</w:t>
      </w:r>
      <w:r w:rsidR="002A16DA">
        <w:t>,</w:t>
      </w:r>
      <w:r w:rsidR="00C46B44">
        <w:t xml:space="preserve"> did trade support to </w:t>
      </w:r>
      <w:r w:rsidR="00DB41D4">
        <w:t>Further Education colleges</w:t>
      </w:r>
      <w:r w:rsidR="002A16DA">
        <w:t xml:space="preserve"> or individual support</w:t>
      </w:r>
      <w:r w:rsidR="00DB41D4">
        <w:t>.</w:t>
      </w:r>
      <w:r w:rsidR="00321408">
        <w:t xml:space="preserve"> </w:t>
      </w:r>
      <w:r w:rsidR="00313204">
        <w:t>29 authorities</w:t>
      </w:r>
      <w:r w:rsidR="00D62AEA">
        <w:t xml:space="preserve"> partially traded VI service support to Further Education colleges</w:t>
      </w:r>
      <w:r w:rsidR="002A16DA">
        <w:t xml:space="preserve"> a</w:t>
      </w:r>
      <w:r w:rsidR="00EB5B0E">
        <w:t>nd 25</w:t>
      </w:r>
      <w:r w:rsidR="00D62AEA">
        <w:t xml:space="preserve"> fully traded </w:t>
      </w:r>
      <w:r w:rsidR="002A16DA">
        <w:t>this</w:t>
      </w:r>
      <w:r w:rsidR="00D62AEA">
        <w:t xml:space="preserve"> support. </w:t>
      </w:r>
      <w:r w:rsidR="002A16DA">
        <w:t>18 local authorities trade</w:t>
      </w:r>
      <w:r w:rsidR="0043517A">
        <w:t>d</w:t>
      </w:r>
      <w:r w:rsidR="002A16DA">
        <w:t xml:space="preserve"> some aspect of direct CYP individual support.</w:t>
      </w:r>
      <w:r w:rsidR="000E2120">
        <w:t xml:space="preserve"> </w:t>
      </w:r>
      <w:r w:rsidR="000E2120">
        <w:lastRenderedPageBreak/>
        <w:t>Although, in most cases</w:t>
      </w:r>
      <w:r w:rsidR="008B56B9">
        <w:t>,</w:t>
      </w:r>
      <w:r w:rsidR="000E2120">
        <w:t xml:space="preserve"> </w:t>
      </w:r>
      <w:r w:rsidR="0047025E">
        <w:t>authorities</w:t>
      </w:r>
      <w:r w:rsidR="00BC2377">
        <w:t xml:space="preserve"> trading direct support </w:t>
      </w:r>
      <w:r w:rsidR="0047025E">
        <w:t xml:space="preserve">said this </w:t>
      </w:r>
      <w:r w:rsidR="00BC2377">
        <w:t xml:space="preserve">only </w:t>
      </w:r>
      <w:r w:rsidR="008B56B9">
        <w:t xml:space="preserve">applied </w:t>
      </w:r>
      <w:r w:rsidR="002431B1">
        <w:t>to</w:t>
      </w:r>
      <w:r w:rsidR="00BC2377">
        <w:t xml:space="preserve"> independent school settings.</w:t>
      </w:r>
    </w:p>
    <w:p w14:paraId="2B04460A" w14:textId="77777777" w:rsidR="00D62AEA" w:rsidRDefault="00D62AEA" w:rsidP="00A02ADB"/>
    <w:p w14:paraId="5DFFAAB3" w14:textId="4E59C46D" w:rsidR="00D62AEA" w:rsidRDefault="000A4DCE" w:rsidP="00D62AEA">
      <w:pPr>
        <w:pStyle w:val="Heading3"/>
      </w:pPr>
      <w:r>
        <w:t>C</w:t>
      </w:r>
      <w:r w:rsidR="00D62AEA">
        <w:t>hanges to provision</w:t>
      </w:r>
    </w:p>
    <w:p w14:paraId="46C0E693" w14:textId="2B4ABFEC" w:rsidR="00C77977" w:rsidRDefault="00C77977" w:rsidP="00013028">
      <w:pPr>
        <w:pStyle w:val="Heading4"/>
      </w:pPr>
      <w:r>
        <w:t>Past changes to provision</w:t>
      </w:r>
    </w:p>
    <w:p w14:paraId="3444704B" w14:textId="12EDC590" w:rsidR="00B46B1C" w:rsidRDefault="00D62AEA" w:rsidP="00D62AEA">
      <w:r>
        <w:t>12% of local authorities have made changes to the way provision for children and young people with vision impairment is funded or organised over the past 12 months.</w:t>
      </w:r>
      <w:r w:rsidR="00B46B1C">
        <w:t xml:space="preserve"> </w:t>
      </w:r>
    </w:p>
    <w:p w14:paraId="4094A9DD" w14:textId="77777777" w:rsidR="00B46B1C" w:rsidRDefault="00B46B1C" w:rsidP="00D62AEA"/>
    <w:p w14:paraId="276F0BF2" w14:textId="76312B47" w:rsidR="009B5253" w:rsidRDefault="00297F11" w:rsidP="00D62AEA">
      <w:r>
        <w:t>Ch</w:t>
      </w:r>
      <w:r w:rsidR="00B46B1C">
        <w:t xml:space="preserve">anges </w:t>
      </w:r>
      <w:r>
        <w:t xml:space="preserve">in </w:t>
      </w:r>
      <w:r w:rsidR="00AA2D8B">
        <w:t>five</w:t>
      </w:r>
      <w:r>
        <w:t xml:space="preserve"> services </w:t>
      </w:r>
      <w:r w:rsidR="00B46B1C">
        <w:t>were positive</w:t>
      </w:r>
      <w:r w:rsidR="00D30103">
        <w:t>,</w:t>
      </w:r>
      <w:r w:rsidR="00B46B1C">
        <w:t xml:space="preserve"> </w:t>
      </w:r>
      <w:r>
        <w:t>reflecting increased</w:t>
      </w:r>
      <w:r w:rsidR="00B46B1C">
        <w:t xml:space="preserve"> capacity </w:t>
      </w:r>
      <w:r w:rsidR="00010F7A">
        <w:t xml:space="preserve">or funding </w:t>
      </w:r>
      <w:r w:rsidR="00B46B1C">
        <w:t xml:space="preserve">to the service. </w:t>
      </w:r>
      <w:r w:rsidR="00E61E58">
        <w:t>For example, one authority spoke of an “i</w:t>
      </w:r>
      <w:r w:rsidR="00E61E58" w:rsidRPr="00E61E58">
        <w:t>ncrease in funding to support increasing numbers of tactile learners</w:t>
      </w:r>
      <w:r w:rsidR="00E61E58">
        <w:t>…</w:t>
      </w:r>
      <w:r w:rsidR="00C812EE">
        <w:t>[and]</w:t>
      </w:r>
      <w:r w:rsidR="00E61E58" w:rsidRPr="00E61E58">
        <w:t xml:space="preserve"> </w:t>
      </w:r>
      <w:r w:rsidR="00C812EE">
        <w:t>a</w:t>
      </w:r>
      <w:r w:rsidR="00E61E58" w:rsidRPr="00E61E58">
        <w:t>dditional provision of centrally employed Curriculum Access Specialists.</w:t>
      </w:r>
      <w:r w:rsidR="00C812EE">
        <w:t>”</w:t>
      </w:r>
      <w:r w:rsidR="00474927">
        <w:t xml:space="preserve"> Another </w:t>
      </w:r>
      <w:r w:rsidR="00A15A89">
        <w:t>told us they had an</w:t>
      </w:r>
      <w:r w:rsidR="00474927">
        <w:t xml:space="preserve"> “</w:t>
      </w:r>
      <w:r w:rsidR="00895D1B">
        <w:t>i</w:t>
      </w:r>
      <w:r w:rsidR="00474927" w:rsidRPr="00474927">
        <w:t>ncreased number of specialist Teachers employed by 1fte</w:t>
      </w:r>
      <w:r w:rsidR="00474927">
        <w:t>”</w:t>
      </w:r>
    </w:p>
    <w:p w14:paraId="6A566F8A" w14:textId="77777777" w:rsidR="009B5253" w:rsidRDefault="009B5253" w:rsidP="00D62AEA"/>
    <w:p w14:paraId="22455B1A" w14:textId="443324C4" w:rsidR="00D62AEA" w:rsidRDefault="00EF1CB8" w:rsidP="00D62AEA">
      <w:r>
        <w:t xml:space="preserve">However, </w:t>
      </w:r>
      <w:r w:rsidR="00297F11">
        <w:t xml:space="preserve">the same number of </w:t>
      </w:r>
      <w:r w:rsidR="00B46B1C">
        <w:t xml:space="preserve">authorities </w:t>
      </w:r>
      <w:r w:rsidR="00297F11">
        <w:t>(</w:t>
      </w:r>
      <w:r w:rsidR="00AA2D8B">
        <w:t>five</w:t>
      </w:r>
      <w:r w:rsidR="00297F11">
        <w:t xml:space="preserve">) </w:t>
      </w:r>
      <w:r w:rsidR="00B46B1C">
        <w:t>mentioned changes that would reduce support available to CYP, for example by reducing direct teaching or other measures to maintain the service with reduced capacity.</w:t>
      </w:r>
      <w:r w:rsidR="00266EA3">
        <w:t xml:space="preserve"> One service stated “</w:t>
      </w:r>
      <w:r w:rsidR="002A5D18">
        <w:t>n</w:t>
      </w:r>
      <w:r w:rsidR="00266EA3" w:rsidRPr="00266EA3">
        <w:t>o reduction in budget but a reduction in levels of support due to a rise in Severely Sight Impaired CYP transitioning into secondary or arriving new to the LA</w:t>
      </w:r>
      <w:r w:rsidR="00266EA3">
        <w:t>.”</w:t>
      </w:r>
      <w:r w:rsidR="002617BF">
        <w:t xml:space="preserve"> A further </w:t>
      </w:r>
      <w:r w:rsidR="00235C04">
        <w:t>seven</w:t>
      </w:r>
      <w:r w:rsidR="002617BF">
        <w:t xml:space="preserve"> authorities mentioned structural changes and it is unclear how these might impact </w:t>
      </w:r>
      <w:r w:rsidR="007C5AEB">
        <w:t>learners.</w:t>
      </w:r>
    </w:p>
    <w:p w14:paraId="59C4C9CA" w14:textId="77777777" w:rsidR="00D62AEA" w:rsidRDefault="00D62AEA" w:rsidP="00D62AEA"/>
    <w:p w14:paraId="6D7E1FF3" w14:textId="02E1C1F9" w:rsidR="00D62AEA" w:rsidRDefault="005A390B" w:rsidP="00D62AEA">
      <w:r>
        <w:t xml:space="preserve">Other </w:t>
      </w:r>
      <w:r w:rsidR="00B71D47">
        <w:t xml:space="preserve">specific </w:t>
      </w:r>
      <w:r>
        <w:t>changes</w:t>
      </w:r>
      <w:r w:rsidR="00B71D47">
        <w:t xml:space="preserve"> mentioned</w:t>
      </w:r>
      <w:r w:rsidR="00C26B5B">
        <w:t xml:space="preserve"> </w:t>
      </w:r>
      <w:r w:rsidR="00D62AEA">
        <w:t xml:space="preserve">include curriculum changes, professional training, </w:t>
      </w:r>
      <w:r w:rsidR="00C3572F">
        <w:t xml:space="preserve">management arrangement, </w:t>
      </w:r>
      <w:r w:rsidR="00D62AEA">
        <w:t xml:space="preserve">increased parental involvement and increased collaboration between schools. </w:t>
      </w:r>
      <w:r w:rsidR="008B5747">
        <w:t>Some</w:t>
      </w:r>
      <w:r w:rsidR="00026640">
        <w:t xml:space="preserve"> </w:t>
      </w:r>
      <w:r w:rsidR="00D62AEA">
        <w:t xml:space="preserve">local authorities </w:t>
      </w:r>
      <w:r w:rsidR="008B5747">
        <w:t>said their team structure ha</w:t>
      </w:r>
      <w:r w:rsidR="001A732C">
        <w:t>d</w:t>
      </w:r>
      <w:r w:rsidR="008B5747">
        <w:t xml:space="preserve"> changed to</w:t>
      </w:r>
      <w:r w:rsidR="00D62AEA">
        <w:t xml:space="preserve"> combine provision </w:t>
      </w:r>
      <w:r w:rsidR="00207155">
        <w:t>for</w:t>
      </w:r>
      <w:r w:rsidR="00D62AEA">
        <w:t xml:space="preserve"> VI service support with provision for hearing and </w:t>
      </w:r>
      <w:r w:rsidR="001A732C">
        <w:t>multi-</w:t>
      </w:r>
      <w:r w:rsidR="00D62AEA">
        <w:t xml:space="preserve">sensory impairments. </w:t>
      </w:r>
    </w:p>
    <w:p w14:paraId="1A9C97C1" w14:textId="77777777" w:rsidR="00D62AEA" w:rsidRDefault="00D62AEA" w:rsidP="00D62AEA"/>
    <w:p w14:paraId="34F94618" w14:textId="77777777" w:rsidR="00D62AEA" w:rsidRPr="00D62AEA" w:rsidRDefault="0019703A" w:rsidP="00D62AEA">
      <w:pPr>
        <w:rPr>
          <w:b/>
        </w:rPr>
      </w:pPr>
      <w:r>
        <w:rPr>
          <w:b/>
        </w:rPr>
        <w:t>C</w:t>
      </w:r>
      <w:r w:rsidR="00D62AEA">
        <w:rPr>
          <w:b/>
        </w:rPr>
        <w:t>onsultations</w:t>
      </w:r>
      <w:r>
        <w:rPr>
          <w:b/>
        </w:rPr>
        <w:t xml:space="preserve"> on past change to provision</w:t>
      </w:r>
    </w:p>
    <w:p w14:paraId="5A02C44F" w14:textId="77777777" w:rsidR="00D62AEA" w:rsidRDefault="00D62AEA" w:rsidP="00D62AEA">
      <w:r>
        <w:t xml:space="preserve">Of the 12% of local authorities who have made changes to the way provision for children and young people with vision impairment is funded or organised in the past 12 months, </w:t>
      </w:r>
      <w:r w:rsidR="009C0D93">
        <w:t>all provided</w:t>
      </w:r>
      <w:r>
        <w:t xml:space="preserve"> further information about who they consulted in making these changes.</w:t>
      </w:r>
      <w:r w:rsidR="00B46B1C">
        <w:t xml:space="preserve"> </w:t>
      </w:r>
    </w:p>
    <w:p w14:paraId="3731F061" w14:textId="77777777" w:rsidR="00D62AEA" w:rsidRDefault="00D62AEA" w:rsidP="00D62AEA"/>
    <w:p w14:paraId="11DF7F60" w14:textId="6E99BEAA" w:rsidR="009C0D93" w:rsidRDefault="00A0479B" w:rsidP="009C0D93">
      <w:r>
        <w:t>Of the 12%, o</w:t>
      </w:r>
      <w:r w:rsidR="009C0D93">
        <w:t xml:space="preserve">ver half consulted with parents or VI organisations when making changes to VI service provision. However, only 39% </w:t>
      </w:r>
      <w:r w:rsidR="00D738AF">
        <w:t xml:space="preserve">of these </w:t>
      </w:r>
      <w:r w:rsidR="009C0D93">
        <w:t xml:space="preserve">consulted both parents and VI organisations. The remainder (39%), </w:t>
      </w:r>
      <w:r w:rsidR="009C0D93">
        <w:lastRenderedPageBreak/>
        <w:t>consulted neither parents or VI organisations when making changes to VI service provision.</w:t>
      </w:r>
    </w:p>
    <w:p w14:paraId="462639F3" w14:textId="77777777" w:rsidR="009C0D93" w:rsidRDefault="009C0D93" w:rsidP="009C0D93"/>
    <w:p w14:paraId="438A0255" w14:textId="54361F10" w:rsidR="009C0D93" w:rsidRDefault="009C0D93" w:rsidP="009C0D93">
      <w:r>
        <w:t>Most local authorities who made changes to provision did not provide reasons for their decision to consult, or not consult, parents and VI organisations. Only two local authorities provided explanation that neither parents or VI organisations were consulted because there w</w:t>
      </w:r>
      <w:r w:rsidR="00F23322">
        <w:t>ere</w:t>
      </w:r>
      <w:r>
        <w:t xml:space="preserve"> no change</w:t>
      </w:r>
      <w:r w:rsidR="007C5ABA">
        <w:t>s</w:t>
      </w:r>
      <w:r>
        <w:t xml:space="preserve"> to </w:t>
      </w:r>
      <w:r w:rsidR="00D428E1">
        <w:t>“deliver</w:t>
      </w:r>
      <w:r w:rsidR="00301DBD">
        <w:t>y or service specification</w:t>
      </w:r>
      <w:r w:rsidR="00D428E1">
        <w:t>”</w:t>
      </w:r>
      <w:r>
        <w:t>.</w:t>
      </w:r>
    </w:p>
    <w:p w14:paraId="208855AA" w14:textId="77777777" w:rsidR="00D62AEA" w:rsidRDefault="00D62AEA" w:rsidP="00D62AEA"/>
    <w:p w14:paraId="294B2BFB" w14:textId="77777777" w:rsidR="00D62AEA" w:rsidRPr="00D62AEA" w:rsidRDefault="00D62AEA" w:rsidP="00301DBD">
      <w:pPr>
        <w:pStyle w:val="Heading4"/>
      </w:pPr>
      <w:r w:rsidRPr="00D62AEA">
        <w:t>Proposed changes</w:t>
      </w:r>
      <w:r w:rsidR="0019703A">
        <w:t xml:space="preserve"> to provision</w:t>
      </w:r>
    </w:p>
    <w:p w14:paraId="43E31220" w14:textId="4F53589E" w:rsidR="00D62AEA" w:rsidRDefault="00E743C7" w:rsidP="00E743C7">
      <w:r>
        <w:t>Of the 139 local authorities who responded to this question</w:t>
      </w:r>
      <w:r w:rsidR="00AD7D7F">
        <w:t>,</w:t>
      </w:r>
      <w:r>
        <w:t xml:space="preserve"> almost a quarter (24%) </w:t>
      </w:r>
      <w:r w:rsidR="00FB17D2">
        <w:t>said there were</w:t>
      </w:r>
      <w:r>
        <w:t xml:space="preserve"> current or proposed reviews of the VI service that will affect the way it is organised, managed or funded. 9% didn’t know whether there were any current or proposed reviews of the service</w:t>
      </w:r>
      <w:r w:rsidR="00EC1A89">
        <w:t xml:space="preserve"> and </w:t>
      </w:r>
      <w:r>
        <w:t xml:space="preserve">67% </w:t>
      </w:r>
      <w:r w:rsidR="00EC1A89">
        <w:t>did</w:t>
      </w:r>
      <w:r>
        <w:t xml:space="preserve"> not have current or proposed reviews.</w:t>
      </w:r>
    </w:p>
    <w:p w14:paraId="793B3C93" w14:textId="77777777" w:rsidR="00E743C7" w:rsidRDefault="00E743C7" w:rsidP="00E743C7"/>
    <w:p w14:paraId="708FC345" w14:textId="77D7A27E" w:rsidR="00E743C7" w:rsidRDefault="00E743C7" w:rsidP="00E743C7">
      <w:r>
        <w:t>Further information was provided by the 24% of local authorities who have current or proposed reviews. A quarter (</w:t>
      </w:r>
      <w:r w:rsidR="000B6238">
        <w:t>eight authorities</w:t>
      </w:r>
      <w:r>
        <w:t xml:space="preserve">) </w:t>
      </w:r>
      <w:r w:rsidR="00712536">
        <w:t>expect to make</w:t>
      </w:r>
      <w:r w:rsidR="00060A40">
        <w:t xml:space="preserve"> </w:t>
      </w:r>
      <w:r>
        <w:t xml:space="preserve">no changes to VI service provision following reviews and </w:t>
      </w:r>
      <w:r w:rsidR="000B6238">
        <w:t>five authorities</w:t>
      </w:r>
      <w:r>
        <w:t xml:space="preserve"> had reviews that were </w:t>
      </w:r>
      <w:r w:rsidR="002D325D">
        <w:t>yet to start</w:t>
      </w:r>
      <w:r>
        <w:t xml:space="preserve"> or ongoing.</w:t>
      </w:r>
    </w:p>
    <w:p w14:paraId="56430F3F" w14:textId="77777777" w:rsidR="00E743C7" w:rsidRDefault="00E743C7" w:rsidP="00E743C7"/>
    <w:p w14:paraId="65ACD45A" w14:textId="5B212287" w:rsidR="00D62AEA" w:rsidRDefault="00E743C7" w:rsidP="00E743C7">
      <w:r>
        <w:t xml:space="preserve">Of those that </w:t>
      </w:r>
      <w:r w:rsidR="00047F6E">
        <w:t>reported</w:t>
      </w:r>
      <w:r w:rsidR="008C1551">
        <w:t xml:space="preserve"> proposed changes to</w:t>
      </w:r>
      <w:r>
        <w:t xml:space="preserve"> VI service provision, responses varied. </w:t>
      </w:r>
      <w:r w:rsidR="000B6238">
        <w:t>Five involved</w:t>
      </w:r>
      <w:r>
        <w:t xml:space="preserve"> </w:t>
      </w:r>
      <w:r w:rsidR="001128BE">
        <w:t xml:space="preserve">proposed </w:t>
      </w:r>
      <w:r>
        <w:t xml:space="preserve">changes to </w:t>
      </w:r>
      <w:r w:rsidR="000B6238">
        <w:t xml:space="preserve">the host provider </w:t>
      </w:r>
      <w:r>
        <w:t>and</w:t>
      </w:r>
      <w:r w:rsidR="000D24FA">
        <w:t xml:space="preserve"> five more,</w:t>
      </w:r>
      <w:r>
        <w:t xml:space="preserve"> changes to management structures. </w:t>
      </w:r>
      <w:r w:rsidR="000D24FA">
        <w:t>Nine</w:t>
      </w:r>
      <w:r>
        <w:t xml:space="preserve"> local authorities are </w:t>
      </w:r>
      <w:r w:rsidR="001128BE">
        <w:t xml:space="preserve">proposing to </w:t>
      </w:r>
      <w:r>
        <w:t>chang</w:t>
      </w:r>
      <w:r w:rsidR="001128BE">
        <w:t>e</w:t>
      </w:r>
      <w:r>
        <w:t xml:space="preserve"> some aspect of their service provision, including how services are provided across the county/borough, the roles of staff members, and how CYP are seen for reviews. </w:t>
      </w:r>
      <w:r w:rsidR="000D24FA">
        <w:t xml:space="preserve">Reviews in three </w:t>
      </w:r>
      <w:r>
        <w:t xml:space="preserve">authorities </w:t>
      </w:r>
      <w:r w:rsidR="006A1F7B">
        <w:t xml:space="preserve">are </w:t>
      </w:r>
      <w:r>
        <w:t xml:space="preserve">on budgets for VI service provision </w:t>
      </w:r>
      <w:r w:rsidR="000D24FA">
        <w:t>with cuts likely</w:t>
      </w:r>
      <w:r>
        <w:t>.</w:t>
      </w:r>
    </w:p>
    <w:p w14:paraId="325B7330" w14:textId="77777777" w:rsidR="00E743C7" w:rsidRDefault="00E743C7" w:rsidP="00E743C7"/>
    <w:p w14:paraId="795EC0E4" w14:textId="77777777" w:rsidR="00D62AEA" w:rsidRDefault="00D62AEA" w:rsidP="00D62AEA">
      <w:pPr>
        <w:pStyle w:val="Heading3"/>
      </w:pPr>
      <w:r>
        <w:t>Budgets</w:t>
      </w:r>
    </w:p>
    <w:p w14:paraId="431ADD78" w14:textId="77777777" w:rsidR="006821B8" w:rsidRDefault="006821B8" w:rsidP="000D24FA">
      <w:r>
        <w:t xml:space="preserve">In the 2019 FOI request, we asked authorities to provide the service budget across three separate years, 2017/18, 2018/19 and 2019/20. </w:t>
      </w:r>
    </w:p>
    <w:p w14:paraId="78AF1B22" w14:textId="77777777" w:rsidR="006821B8" w:rsidRDefault="006821B8" w:rsidP="000D24FA"/>
    <w:p w14:paraId="70B0DFAF" w14:textId="1C9602DC" w:rsidR="00B440E9" w:rsidRDefault="006821B8" w:rsidP="000D24FA">
      <w:r>
        <w:t xml:space="preserve">Out of the total 152 authorities in England, three quarters have provided budget information. Not all were able to provide all years requested and not all were able to separate the service budget specifically for </w:t>
      </w:r>
      <w:r w:rsidR="000649C8">
        <w:t>vision</w:t>
      </w:r>
      <w:r>
        <w:t xml:space="preserve"> impairment education services</w:t>
      </w:r>
      <w:r w:rsidR="00D968D7">
        <w:t xml:space="preserve"> from the sensory support budget</w:t>
      </w:r>
      <w:r>
        <w:t xml:space="preserve">. </w:t>
      </w:r>
    </w:p>
    <w:p w14:paraId="4C8231FD" w14:textId="77777777" w:rsidR="005A73AF" w:rsidRDefault="005A73AF" w:rsidP="005A73AF">
      <w:pPr>
        <w:rPr>
          <w:b/>
        </w:rPr>
      </w:pPr>
    </w:p>
    <w:p w14:paraId="01DE18CF" w14:textId="77777777" w:rsidR="00793DCA" w:rsidRPr="001528B9" w:rsidRDefault="00793DCA" w:rsidP="00793DCA">
      <w:pPr>
        <w:rPr>
          <w:b/>
        </w:rPr>
      </w:pPr>
      <w:r>
        <w:rPr>
          <w:b/>
        </w:rPr>
        <w:t>Funding trends</w:t>
      </w:r>
    </w:p>
    <w:p w14:paraId="406A6835" w14:textId="23BC8EEE" w:rsidR="00793DCA" w:rsidRDefault="00793DCA" w:rsidP="00793DCA">
      <w:r>
        <w:t>It was possible to analyse the</w:t>
      </w:r>
      <w:r w:rsidR="00045F45">
        <w:t xml:space="preserve"> VI service</w:t>
      </w:r>
      <w:r>
        <w:t xml:space="preserve"> budgets provided by </w:t>
      </w:r>
      <w:r w:rsidR="00F9109F">
        <w:t>114 individual</w:t>
      </w:r>
      <w:r>
        <w:t xml:space="preserve"> authorities, representing three quarters of all authorities. </w:t>
      </w:r>
      <w:r w:rsidR="00BB58BF">
        <w:t>In the two years b</w:t>
      </w:r>
      <w:r w:rsidRPr="000D24FA">
        <w:t>etween 201</w:t>
      </w:r>
      <w:r>
        <w:t>7/18</w:t>
      </w:r>
      <w:r w:rsidRPr="000D24FA">
        <w:t xml:space="preserve"> and 2019</w:t>
      </w:r>
      <w:r>
        <w:t>/</w:t>
      </w:r>
      <w:r w:rsidRPr="000D24FA">
        <w:t>20</w:t>
      </w:r>
      <w:r>
        <w:t>, 26 authorities</w:t>
      </w:r>
      <w:r w:rsidRPr="000D24FA">
        <w:t xml:space="preserve"> </w:t>
      </w:r>
      <w:r>
        <w:t>cut</w:t>
      </w:r>
      <w:r w:rsidRPr="000D24FA">
        <w:t xml:space="preserve"> their </w:t>
      </w:r>
      <w:r w:rsidR="001A732C">
        <w:t xml:space="preserve">VI </w:t>
      </w:r>
      <w:r>
        <w:lastRenderedPageBreak/>
        <w:t xml:space="preserve">service </w:t>
      </w:r>
      <w:r w:rsidRPr="000D24FA">
        <w:t>budget</w:t>
      </w:r>
      <w:r>
        <w:t>, equating to 23% of those responding</w:t>
      </w:r>
      <w:r w:rsidRPr="000D24FA">
        <w:t>.</w:t>
      </w:r>
      <w:r>
        <w:t xml:space="preserve"> Another 21% froze their budgets. Whilst 56% increased budgets, it is worrying that 44% either cut or froze their budget. </w:t>
      </w:r>
    </w:p>
    <w:p w14:paraId="4D2C9D23" w14:textId="77777777" w:rsidR="00793DCA" w:rsidRDefault="00793DCA" w:rsidP="00793DCA"/>
    <w:p w14:paraId="43951710" w14:textId="1A28D9DE" w:rsidR="00793DCA" w:rsidRDefault="00793DCA" w:rsidP="00793DCA">
      <w:r>
        <w:t xml:space="preserve">Furthermore, when inflation is accounted for, </w:t>
      </w:r>
      <w:bookmarkStart w:id="20" w:name="_Hlk16692776"/>
      <w:r w:rsidR="00B5034F">
        <w:t>over hal</w:t>
      </w:r>
      <w:r w:rsidR="00B916D3">
        <w:t>f</w:t>
      </w:r>
      <w:r w:rsidR="00B5034F">
        <w:t xml:space="preserve"> of those that increase</w:t>
      </w:r>
      <w:r w:rsidR="00E66C32">
        <w:t>d</w:t>
      </w:r>
      <w:r>
        <w:t xml:space="preserve"> funding </w:t>
      </w:r>
      <w:r w:rsidR="00B5034F">
        <w:t xml:space="preserve">did </w:t>
      </w:r>
      <w:r w:rsidR="00B916D3">
        <w:t xml:space="preserve">not do so </w:t>
      </w:r>
      <w:r>
        <w:t>in line with inflation</w:t>
      </w:r>
      <w:r w:rsidR="002852B5">
        <w:t xml:space="preserve"> (</w:t>
      </w:r>
      <w:r w:rsidR="00B21A5B">
        <w:t>ONS</w:t>
      </w:r>
      <w:r w:rsidR="002852B5">
        <w:t>, 2019)</w:t>
      </w:r>
      <w:r>
        <w:t xml:space="preserve">. </w:t>
      </w:r>
      <w:r w:rsidR="00187AEB">
        <w:t xml:space="preserve">This means </w:t>
      </w:r>
      <w:r>
        <w:t xml:space="preserve">three quarters </w:t>
      </w:r>
      <w:r w:rsidR="00503FC2">
        <w:t xml:space="preserve">of authorities </w:t>
      </w:r>
      <w:r>
        <w:t xml:space="preserve">cut or </w:t>
      </w:r>
      <w:r w:rsidR="00B72060">
        <w:t>have</w:t>
      </w:r>
      <w:r>
        <w:t xml:space="preserve"> not increase</w:t>
      </w:r>
      <w:r w:rsidR="00B72060">
        <w:t>d</w:t>
      </w:r>
      <w:r>
        <w:t xml:space="preserve"> funding in line with inflation</w:t>
      </w:r>
      <w:r w:rsidR="00814E96">
        <w:t xml:space="preserve"> over the past two years</w:t>
      </w:r>
      <w:r>
        <w:t>. Just 24% saw an increase to their budgets in line with or over inflation. (note: uses CPI inflation from 2016 to 2018 of 5%)</w:t>
      </w:r>
    </w:p>
    <w:bookmarkEnd w:id="20"/>
    <w:p w14:paraId="49A2A85D" w14:textId="77777777" w:rsidR="00793DCA" w:rsidRDefault="00793DCA" w:rsidP="00793DCA"/>
    <w:p w14:paraId="0021D2AD" w14:textId="0DB7FCA4" w:rsidR="00793DCA" w:rsidRDefault="00793DCA" w:rsidP="00793DCA">
      <w:r>
        <w:t xml:space="preserve">In </w:t>
      </w:r>
      <w:r w:rsidR="00982611">
        <w:t>authorities that have reduced funding</w:t>
      </w:r>
      <w:r>
        <w:t xml:space="preserve">, over the last two years £1.1 million </w:t>
      </w:r>
      <w:r w:rsidR="009D64C9">
        <w:t xml:space="preserve">has been lost </w:t>
      </w:r>
      <w:r>
        <w:t xml:space="preserve">from </w:t>
      </w:r>
      <w:r w:rsidR="00982611">
        <w:t xml:space="preserve">service </w:t>
      </w:r>
      <w:r>
        <w:t>budgets</w:t>
      </w:r>
      <w:r w:rsidRPr="00FC0932">
        <w:t xml:space="preserve"> </w:t>
      </w:r>
      <w:r w:rsidR="00DA7B01">
        <w:t xml:space="preserve">to </w:t>
      </w:r>
      <w:r w:rsidRPr="00FC0932">
        <w:t>support children and young people with vision impairment</w:t>
      </w:r>
      <w:r>
        <w:t xml:space="preserve">. This is </w:t>
      </w:r>
      <w:r w:rsidRPr="00FC0932">
        <w:t xml:space="preserve">despite a </w:t>
      </w:r>
      <w:r>
        <w:t>7</w:t>
      </w:r>
      <w:r w:rsidRPr="00FC0932">
        <w:t>% increase in children and young people accessing the service.</w:t>
      </w:r>
      <w:r>
        <w:t xml:space="preserve"> </w:t>
      </w:r>
      <w:r w:rsidRPr="004654E8">
        <w:t>Over 5,000 children and young people are accessing education services in authorities where budgets have been cut in the last two years.</w:t>
      </w:r>
      <w:r w:rsidR="00360159">
        <w:t xml:space="preserve"> </w:t>
      </w:r>
      <w:r w:rsidR="00360159" w:rsidRPr="0001129F">
        <w:t xml:space="preserve">A further 13,300 CYP are </w:t>
      </w:r>
      <w:r w:rsidR="00385D19">
        <w:t>accessing</w:t>
      </w:r>
      <w:r w:rsidR="00360159" w:rsidRPr="0001129F">
        <w:t xml:space="preserve"> services that have failed to keep their budgets in line with inflation, meaning real term cuts to funding. In total, these children make up 61% of all children supported by VI services across England.</w:t>
      </w:r>
    </w:p>
    <w:p w14:paraId="2C9BF6FD" w14:textId="77777777" w:rsidR="00793DCA" w:rsidRDefault="00793DCA" w:rsidP="00793DCA"/>
    <w:p w14:paraId="0B339255" w14:textId="682E264B" w:rsidR="00DF27C5" w:rsidRDefault="00793DCA" w:rsidP="00793DCA">
      <w:r>
        <w:t xml:space="preserve">Funding was cut more in the single year between 2017/18 to 2018/19, with just under a third cutting budgets (31%). The 2018 FOI </w:t>
      </w:r>
      <w:r w:rsidR="00345160">
        <w:t xml:space="preserve">request </w:t>
      </w:r>
      <w:r>
        <w:t xml:space="preserve">also found a third of authorities responding reduced their budgets between 2016/17 and 2017/18. </w:t>
      </w:r>
    </w:p>
    <w:p w14:paraId="084AEF32" w14:textId="77777777" w:rsidR="00DF27C5" w:rsidRDefault="00DF27C5" w:rsidP="00793DCA"/>
    <w:p w14:paraId="765F0DF7" w14:textId="2E494947" w:rsidR="00793DCA" w:rsidRDefault="00793DCA" w:rsidP="00793DCA">
      <w:r>
        <w:t>Yet in the mo</w:t>
      </w:r>
      <w:r w:rsidR="00BB58BF">
        <w:t>s</w:t>
      </w:r>
      <w:r>
        <w:t xml:space="preserve">t recent year, </w:t>
      </w:r>
      <w:r w:rsidR="00BE1F00">
        <w:t>fewer</w:t>
      </w:r>
      <w:r w:rsidR="001A6563">
        <w:t xml:space="preserve"> authorities</w:t>
      </w:r>
      <w:r>
        <w:t xml:space="preserve"> decreased their budgets </w:t>
      </w:r>
      <w:r w:rsidR="00C50153">
        <w:t xml:space="preserve">and </w:t>
      </w:r>
      <w:r>
        <w:t xml:space="preserve">more </w:t>
      </w:r>
      <w:r w:rsidR="001A6563">
        <w:t xml:space="preserve">increased </w:t>
      </w:r>
      <w:r w:rsidR="00C50153">
        <w:t xml:space="preserve">them. </w:t>
      </w:r>
      <w:r w:rsidR="002B4D70">
        <w:t>The reasons for this</w:t>
      </w:r>
      <w:r w:rsidR="001A6563">
        <w:t xml:space="preserve"> recent </w:t>
      </w:r>
      <w:r w:rsidR="002B4D70">
        <w:t xml:space="preserve">change </w:t>
      </w:r>
      <w:proofErr w:type="gramStart"/>
      <w:r w:rsidR="002B4D70">
        <w:t>is</w:t>
      </w:r>
      <w:proofErr w:type="gramEnd"/>
      <w:r w:rsidR="002B4D70">
        <w:t xml:space="preserve"> unclear</w:t>
      </w:r>
      <w:r>
        <w:t xml:space="preserve">. It could be that budgets have been cut previously and are returning to more sustainable levels. Or, budgets that have remained static may now be increasing </w:t>
      </w:r>
      <w:r w:rsidR="001D2F5A">
        <w:t xml:space="preserve">to bring them more </w:t>
      </w:r>
      <w:r>
        <w:t xml:space="preserve">in line with inflation as the real-term cuts in leaving budgets </w:t>
      </w:r>
      <w:r w:rsidR="00315A63">
        <w:t>static</w:t>
      </w:r>
      <w:r>
        <w:t xml:space="preserve"> year on year was becoming unsustainable.</w:t>
      </w:r>
      <w:r w:rsidR="00E210C4">
        <w:t xml:space="preserve"> </w:t>
      </w:r>
      <w:r w:rsidR="00315A63">
        <w:t xml:space="preserve">This </w:t>
      </w:r>
      <w:r w:rsidR="000360CF">
        <w:t>theory is supported</w:t>
      </w:r>
      <w:r w:rsidR="00FF6520">
        <w:t xml:space="preserve"> by trend analysis which reveals</w:t>
      </w:r>
      <w:r w:rsidR="00E210C4">
        <w:t xml:space="preserve"> </w:t>
      </w:r>
      <w:r w:rsidR="00ED39F8">
        <w:t xml:space="preserve">that </w:t>
      </w:r>
      <w:r w:rsidR="00E210C4">
        <w:t xml:space="preserve">only 27% of authorities increased their budget </w:t>
      </w:r>
      <w:r w:rsidR="00AF277D">
        <w:t xml:space="preserve">each year </w:t>
      </w:r>
      <w:r w:rsidR="00BF6B7F">
        <w:t>for</w:t>
      </w:r>
      <w:r w:rsidR="00141936">
        <w:t xml:space="preserve"> the past two years and only </w:t>
      </w:r>
      <w:r w:rsidR="00AF277D">
        <w:t xml:space="preserve">13% increased </w:t>
      </w:r>
      <w:r w:rsidR="00BF6B7F">
        <w:t xml:space="preserve">their </w:t>
      </w:r>
      <w:r w:rsidR="00AF277D">
        <w:t xml:space="preserve">budget each year for the </w:t>
      </w:r>
      <w:r w:rsidR="00BF6B7F">
        <w:t>last</w:t>
      </w:r>
      <w:r w:rsidR="00AF277D">
        <w:t xml:space="preserve"> three years.</w:t>
      </w:r>
    </w:p>
    <w:p w14:paraId="37A7C4F3" w14:textId="77777777" w:rsidR="00793DCA" w:rsidRDefault="00793DCA" w:rsidP="00793DCA"/>
    <w:p w14:paraId="227DFDBF" w14:textId="2F3055FC" w:rsidR="00793DCA" w:rsidRDefault="00793DCA" w:rsidP="00793DCA">
      <w:r>
        <w:t xml:space="preserve">Whilst some </w:t>
      </w:r>
      <w:r w:rsidR="001E1D16">
        <w:t xml:space="preserve">local </w:t>
      </w:r>
      <w:r w:rsidR="00A8654D">
        <w:t>authorities</w:t>
      </w:r>
      <w:r>
        <w:t xml:space="preserve"> are recognising the importance of the </w:t>
      </w:r>
      <w:r w:rsidR="00F815A5">
        <w:t xml:space="preserve">VI education </w:t>
      </w:r>
      <w:r>
        <w:t xml:space="preserve">service, others are failing to make the required investment to maintain service levels. </w:t>
      </w:r>
      <w:r w:rsidR="000156B1">
        <w:t>As previously mentioned, this</w:t>
      </w:r>
      <w:r>
        <w:t xml:space="preserve"> is in the backdrop of an increasing number of CYP with visual impairment on the caseloads, which means budgets are stretched further with less funding available per head.</w:t>
      </w:r>
    </w:p>
    <w:p w14:paraId="567C5BB5" w14:textId="77777777" w:rsidR="00793DCA" w:rsidRPr="000D24FA" w:rsidRDefault="00793DCA" w:rsidP="00793DCA"/>
    <w:p w14:paraId="7BD707FD" w14:textId="77777777" w:rsidR="00793DCA" w:rsidRDefault="00793DCA" w:rsidP="00793DCA">
      <w:r>
        <w:lastRenderedPageBreak/>
        <w:t>The table below shows the proportion of authorities increasing, decreasing or freezing budgets. Actual change and change in line with inflation is shown.</w:t>
      </w:r>
    </w:p>
    <w:p w14:paraId="035A81EE" w14:textId="77777777" w:rsidR="00793DCA" w:rsidRDefault="00793DCA" w:rsidP="00793DCA"/>
    <w:p w14:paraId="4237353E" w14:textId="77777777" w:rsidR="00793DCA" w:rsidRPr="009D0690" w:rsidRDefault="00793DCA" w:rsidP="00793DCA">
      <w:pPr>
        <w:rPr>
          <w:b/>
        </w:rPr>
      </w:pPr>
      <w:r w:rsidRPr="009D0690">
        <w:rPr>
          <w:b/>
        </w:rPr>
        <w:t>Table: Annual budget trends shown as proportion of local authorities responding</w:t>
      </w:r>
      <w:r>
        <w:rPr>
          <w:b/>
        </w:rPr>
        <w:t>, 2017/18 to 2019/20</w:t>
      </w:r>
    </w:p>
    <w:tbl>
      <w:tblPr>
        <w:tblStyle w:val="TableGrid"/>
        <w:tblW w:w="0" w:type="auto"/>
        <w:tblLook w:val="04A0" w:firstRow="1" w:lastRow="0" w:firstColumn="1" w:lastColumn="0" w:noHBand="0" w:noVBand="1"/>
      </w:tblPr>
      <w:tblGrid>
        <w:gridCol w:w="1620"/>
        <w:gridCol w:w="2061"/>
        <w:gridCol w:w="2061"/>
      </w:tblGrid>
      <w:tr w:rsidR="00793DCA" w:rsidRPr="009D0690" w14:paraId="46620C97" w14:textId="77777777" w:rsidTr="00B20839">
        <w:trPr>
          <w:trHeight w:val="280"/>
        </w:trPr>
        <w:tc>
          <w:tcPr>
            <w:tcW w:w="1620" w:type="dxa"/>
            <w:noWrap/>
            <w:hideMark/>
          </w:tcPr>
          <w:p w14:paraId="5B0264B0" w14:textId="77777777" w:rsidR="00793DCA" w:rsidRPr="009D0690" w:rsidRDefault="00793DCA" w:rsidP="00B20839"/>
        </w:tc>
        <w:tc>
          <w:tcPr>
            <w:tcW w:w="2061" w:type="dxa"/>
            <w:noWrap/>
            <w:hideMark/>
          </w:tcPr>
          <w:p w14:paraId="05DD93A0" w14:textId="77777777" w:rsidR="00793DCA" w:rsidRPr="009D0690" w:rsidRDefault="00793DCA" w:rsidP="00B20839">
            <w:pPr>
              <w:rPr>
                <w:bCs/>
              </w:rPr>
            </w:pPr>
            <w:r>
              <w:rPr>
                <w:bCs/>
              </w:rPr>
              <w:t xml:space="preserve">Change </w:t>
            </w:r>
            <w:r w:rsidRPr="009D0690">
              <w:rPr>
                <w:bCs/>
              </w:rPr>
              <w:t>17/18 to 19/20</w:t>
            </w:r>
          </w:p>
        </w:tc>
        <w:tc>
          <w:tcPr>
            <w:tcW w:w="2061" w:type="dxa"/>
          </w:tcPr>
          <w:p w14:paraId="207512E1" w14:textId="77777777" w:rsidR="00793DCA" w:rsidRDefault="00793DCA" w:rsidP="00B20839">
            <w:pPr>
              <w:rPr>
                <w:bCs/>
              </w:rPr>
            </w:pPr>
            <w:r>
              <w:rPr>
                <w:bCs/>
              </w:rPr>
              <w:t>Change 17/18 to 19/20 in line with inflation</w:t>
            </w:r>
          </w:p>
        </w:tc>
      </w:tr>
      <w:tr w:rsidR="00793DCA" w:rsidRPr="009D0690" w14:paraId="7E5D1CB9" w14:textId="77777777" w:rsidTr="00B20839">
        <w:trPr>
          <w:trHeight w:val="280"/>
        </w:trPr>
        <w:tc>
          <w:tcPr>
            <w:tcW w:w="1620" w:type="dxa"/>
            <w:noWrap/>
            <w:hideMark/>
          </w:tcPr>
          <w:p w14:paraId="3A89E84E" w14:textId="77777777" w:rsidR="00793DCA" w:rsidRPr="009D0690" w:rsidRDefault="00793DCA" w:rsidP="00B20839">
            <w:r w:rsidRPr="009D0690">
              <w:t>Increase</w:t>
            </w:r>
          </w:p>
        </w:tc>
        <w:tc>
          <w:tcPr>
            <w:tcW w:w="2061" w:type="dxa"/>
            <w:noWrap/>
            <w:hideMark/>
          </w:tcPr>
          <w:p w14:paraId="57A1BDF1" w14:textId="77777777" w:rsidR="00793DCA" w:rsidRPr="009D0690" w:rsidRDefault="00793DCA" w:rsidP="00B20839">
            <w:pPr>
              <w:rPr>
                <w:bCs/>
              </w:rPr>
            </w:pPr>
            <w:r w:rsidRPr="009D0690">
              <w:rPr>
                <w:bCs/>
              </w:rPr>
              <w:t>56%</w:t>
            </w:r>
          </w:p>
        </w:tc>
        <w:tc>
          <w:tcPr>
            <w:tcW w:w="2061" w:type="dxa"/>
          </w:tcPr>
          <w:p w14:paraId="7300BCEF" w14:textId="77777777" w:rsidR="00793DCA" w:rsidRPr="009D0690" w:rsidRDefault="00793DCA" w:rsidP="00B20839">
            <w:pPr>
              <w:rPr>
                <w:bCs/>
              </w:rPr>
            </w:pPr>
            <w:r>
              <w:rPr>
                <w:bCs/>
              </w:rPr>
              <w:t>24%</w:t>
            </w:r>
          </w:p>
        </w:tc>
      </w:tr>
      <w:tr w:rsidR="00793DCA" w:rsidRPr="009D0690" w14:paraId="64762F07" w14:textId="77777777" w:rsidTr="00B20839">
        <w:trPr>
          <w:trHeight w:val="280"/>
        </w:trPr>
        <w:tc>
          <w:tcPr>
            <w:tcW w:w="1620" w:type="dxa"/>
            <w:noWrap/>
            <w:hideMark/>
          </w:tcPr>
          <w:p w14:paraId="5523E7CE" w14:textId="77777777" w:rsidR="00793DCA" w:rsidRPr="009D0690" w:rsidRDefault="00793DCA" w:rsidP="00B20839">
            <w:r>
              <w:t>No change</w:t>
            </w:r>
          </w:p>
        </w:tc>
        <w:tc>
          <w:tcPr>
            <w:tcW w:w="2061" w:type="dxa"/>
            <w:noWrap/>
            <w:hideMark/>
          </w:tcPr>
          <w:p w14:paraId="5D80BAC0" w14:textId="77777777" w:rsidR="00793DCA" w:rsidRPr="009D0690" w:rsidRDefault="00793DCA" w:rsidP="00B20839">
            <w:pPr>
              <w:rPr>
                <w:bCs/>
              </w:rPr>
            </w:pPr>
            <w:r w:rsidRPr="009D0690">
              <w:rPr>
                <w:bCs/>
              </w:rPr>
              <w:t>21%</w:t>
            </w:r>
          </w:p>
        </w:tc>
        <w:tc>
          <w:tcPr>
            <w:tcW w:w="2061" w:type="dxa"/>
          </w:tcPr>
          <w:p w14:paraId="2E894DB0" w14:textId="77777777" w:rsidR="00793DCA" w:rsidRPr="009D0690" w:rsidRDefault="00793DCA" w:rsidP="00B20839">
            <w:pPr>
              <w:rPr>
                <w:bCs/>
              </w:rPr>
            </w:pPr>
            <w:r>
              <w:rPr>
                <w:bCs/>
              </w:rPr>
              <w:t>-</w:t>
            </w:r>
          </w:p>
        </w:tc>
      </w:tr>
      <w:tr w:rsidR="00793DCA" w:rsidRPr="009D0690" w14:paraId="4C37C3B6" w14:textId="77777777" w:rsidTr="00B20839">
        <w:trPr>
          <w:trHeight w:val="280"/>
        </w:trPr>
        <w:tc>
          <w:tcPr>
            <w:tcW w:w="1620" w:type="dxa"/>
            <w:noWrap/>
            <w:hideMark/>
          </w:tcPr>
          <w:p w14:paraId="24F7146F" w14:textId="77777777" w:rsidR="00793DCA" w:rsidRPr="009D0690" w:rsidRDefault="00793DCA" w:rsidP="00B20839">
            <w:r w:rsidRPr="009D0690">
              <w:t>Decrease</w:t>
            </w:r>
          </w:p>
        </w:tc>
        <w:tc>
          <w:tcPr>
            <w:tcW w:w="2061" w:type="dxa"/>
            <w:noWrap/>
            <w:hideMark/>
          </w:tcPr>
          <w:p w14:paraId="35D7A796" w14:textId="77777777" w:rsidR="00793DCA" w:rsidRPr="009D0690" w:rsidRDefault="00793DCA" w:rsidP="00B20839">
            <w:pPr>
              <w:rPr>
                <w:bCs/>
              </w:rPr>
            </w:pPr>
            <w:r w:rsidRPr="009D0690">
              <w:rPr>
                <w:bCs/>
              </w:rPr>
              <w:t>23%</w:t>
            </w:r>
          </w:p>
        </w:tc>
        <w:tc>
          <w:tcPr>
            <w:tcW w:w="2061" w:type="dxa"/>
          </w:tcPr>
          <w:p w14:paraId="2D45075A" w14:textId="77777777" w:rsidR="00793DCA" w:rsidRPr="009D0690" w:rsidRDefault="00793DCA" w:rsidP="00B20839">
            <w:pPr>
              <w:rPr>
                <w:bCs/>
              </w:rPr>
            </w:pPr>
            <w:r>
              <w:rPr>
                <w:bCs/>
              </w:rPr>
              <w:t>76%</w:t>
            </w:r>
          </w:p>
        </w:tc>
      </w:tr>
      <w:tr w:rsidR="00793DCA" w:rsidRPr="009D0690" w14:paraId="5542B9D6" w14:textId="77777777" w:rsidTr="00B20839">
        <w:trPr>
          <w:trHeight w:val="280"/>
        </w:trPr>
        <w:tc>
          <w:tcPr>
            <w:tcW w:w="1620" w:type="dxa"/>
            <w:noWrap/>
            <w:hideMark/>
          </w:tcPr>
          <w:p w14:paraId="125C09EB" w14:textId="77777777" w:rsidR="00793DCA" w:rsidRPr="009D0690" w:rsidRDefault="00793DCA" w:rsidP="00B20839">
            <w:pPr>
              <w:rPr>
                <w:bCs/>
              </w:rPr>
            </w:pPr>
            <w:r w:rsidRPr="009D0690">
              <w:rPr>
                <w:bCs/>
              </w:rPr>
              <w:t xml:space="preserve">Total </w:t>
            </w:r>
            <w:r>
              <w:rPr>
                <w:bCs/>
              </w:rPr>
              <w:t>LAs</w:t>
            </w:r>
          </w:p>
        </w:tc>
        <w:tc>
          <w:tcPr>
            <w:tcW w:w="2061" w:type="dxa"/>
            <w:noWrap/>
            <w:hideMark/>
          </w:tcPr>
          <w:p w14:paraId="6FF525F4" w14:textId="16DB3086" w:rsidR="00793DCA" w:rsidRPr="009D0690" w:rsidRDefault="00793DCA" w:rsidP="00B20839">
            <w:r w:rsidRPr="009D0690">
              <w:t>11</w:t>
            </w:r>
            <w:r w:rsidR="00240796">
              <w:t>4</w:t>
            </w:r>
          </w:p>
        </w:tc>
        <w:tc>
          <w:tcPr>
            <w:tcW w:w="2061" w:type="dxa"/>
          </w:tcPr>
          <w:p w14:paraId="2ABDFA94" w14:textId="68DAE0B3" w:rsidR="00793DCA" w:rsidRPr="009D0690" w:rsidRDefault="00793DCA" w:rsidP="00B20839">
            <w:r>
              <w:t>11</w:t>
            </w:r>
            <w:r w:rsidR="00240796">
              <w:t>4</w:t>
            </w:r>
          </w:p>
        </w:tc>
      </w:tr>
    </w:tbl>
    <w:p w14:paraId="79131B0F" w14:textId="77777777" w:rsidR="005C4A85" w:rsidRPr="007C66C0" w:rsidRDefault="005C4A85" w:rsidP="00D62AEA"/>
    <w:p w14:paraId="01CE2F25" w14:textId="77777777" w:rsidR="00A02ADB" w:rsidRDefault="00584DDF" w:rsidP="00B366EC">
      <w:pPr>
        <w:pStyle w:val="Heading2"/>
        <w:rPr>
          <w:lang w:eastAsia="en-GB"/>
        </w:rPr>
      </w:pPr>
      <w:bookmarkStart w:id="21" w:name="_Toc19300781"/>
      <w:r>
        <w:rPr>
          <w:lang w:eastAsia="en-GB"/>
        </w:rPr>
        <w:t xml:space="preserve">4.2. </w:t>
      </w:r>
      <w:r w:rsidR="00A02ADB">
        <w:rPr>
          <w:lang w:eastAsia="en-GB"/>
        </w:rPr>
        <w:t>Children and young people supported by the service</w:t>
      </w:r>
      <w:bookmarkEnd w:id="21"/>
    </w:p>
    <w:p w14:paraId="5DF352BD" w14:textId="77777777" w:rsidR="00D62AEA" w:rsidRPr="00D62AEA" w:rsidRDefault="00D62AEA" w:rsidP="00D62AEA">
      <w:pPr>
        <w:pStyle w:val="Heading3"/>
        <w:rPr>
          <w:lang w:eastAsia="en-GB"/>
        </w:rPr>
      </w:pPr>
      <w:r>
        <w:rPr>
          <w:lang w:eastAsia="en-GB"/>
        </w:rPr>
        <w:t>Summary</w:t>
      </w:r>
    </w:p>
    <w:p w14:paraId="5EBCB874" w14:textId="605338A5" w:rsidR="009E6AEA" w:rsidRPr="009E6AEA" w:rsidRDefault="009E6AEA" w:rsidP="009E6AEA">
      <w:pPr>
        <w:pStyle w:val="ListBullet"/>
        <w:rPr>
          <w:lang w:eastAsia="en-GB"/>
        </w:rPr>
      </w:pPr>
      <w:r w:rsidRPr="009E6AEA">
        <w:rPr>
          <w:lang w:eastAsia="en-GB"/>
        </w:rPr>
        <w:t xml:space="preserve">The total number of pupils aged 0-25 on vision impairment service caseloads, or known to these services, was 30,326. This is likely to be an under estimate as some authorities did not </w:t>
      </w:r>
      <w:r w:rsidR="00AF738A" w:rsidRPr="009E6AEA">
        <w:rPr>
          <w:lang w:eastAsia="en-GB"/>
        </w:rPr>
        <w:t>respond,</w:t>
      </w:r>
      <w:r w:rsidRPr="009E6AEA">
        <w:rPr>
          <w:lang w:eastAsia="en-GB"/>
        </w:rPr>
        <w:t xml:space="preserve"> and it represents a 7% increase from 2017. </w:t>
      </w:r>
    </w:p>
    <w:p w14:paraId="2FB60130" w14:textId="77777777" w:rsidR="00C32CAB" w:rsidRPr="0061253C" w:rsidRDefault="00C32CAB" w:rsidP="00584DDF">
      <w:pPr>
        <w:pStyle w:val="ListBullet"/>
        <w:rPr>
          <w:lang w:eastAsia="en-GB"/>
        </w:rPr>
      </w:pPr>
      <w:r>
        <w:rPr>
          <w:lang w:eastAsia="en-GB"/>
        </w:rPr>
        <w:t>Half of CYP on the active caseload have additional education needs to their vision impairment.</w:t>
      </w:r>
    </w:p>
    <w:p w14:paraId="745857B7" w14:textId="28F84F99" w:rsidR="00A02ADB" w:rsidRDefault="00A02ADB" w:rsidP="00584DDF">
      <w:pPr>
        <w:pStyle w:val="ListBullet"/>
        <w:rPr>
          <w:lang w:eastAsia="en-GB"/>
        </w:rPr>
      </w:pPr>
      <w:r w:rsidRPr="006732DE">
        <w:t xml:space="preserve">The total number of </w:t>
      </w:r>
      <w:proofErr w:type="spellStart"/>
      <w:r w:rsidRPr="006732DE">
        <w:t>braillists</w:t>
      </w:r>
      <w:proofErr w:type="spellEnd"/>
      <w:r w:rsidR="00584DDF">
        <w:t xml:space="preserve"> supported</w:t>
      </w:r>
      <w:r w:rsidRPr="006732DE">
        <w:t xml:space="preserve"> across 1</w:t>
      </w:r>
      <w:r w:rsidR="007F41FC">
        <w:t>20</w:t>
      </w:r>
      <w:r w:rsidRPr="006732DE">
        <w:t xml:space="preserve"> local authorities was </w:t>
      </w:r>
      <w:r w:rsidR="006732DE" w:rsidRPr="006732DE">
        <w:t>8</w:t>
      </w:r>
      <w:r w:rsidR="007F41FC">
        <w:t>6</w:t>
      </w:r>
      <w:r w:rsidR="006732DE" w:rsidRPr="006732DE">
        <w:t>9</w:t>
      </w:r>
      <w:r w:rsidRPr="006732DE">
        <w:t>.</w:t>
      </w:r>
      <w:r w:rsidR="006732DE" w:rsidRPr="006732DE">
        <w:t xml:space="preserve"> </w:t>
      </w:r>
      <w:r w:rsidR="006732DE">
        <w:t>This figure would likely be much higher if figures were available for the remaining 3</w:t>
      </w:r>
      <w:r w:rsidR="00694179">
        <w:t>2</w:t>
      </w:r>
      <w:r w:rsidR="006732DE">
        <w:t xml:space="preserve"> authorities. </w:t>
      </w:r>
    </w:p>
    <w:p w14:paraId="2B9A8427" w14:textId="77777777" w:rsidR="001E064C" w:rsidRDefault="001E064C" w:rsidP="001E064C">
      <w:pPr>
        <w:pStyle w:val="ListBullet"/>
      </w:pPr>
      <w:r>
        <w:t xml:space="preserve">When asked about reduction in support, a quarter (23%) of authorities have reduced support for children due to </w:t>
      </w:r>
      <w:r w:rsidRPr="00D56349">
        <w:t xml:space="preserve">service capacity </w:t>
      </w:r>
      <w:r>
        <w:t>or</w:t>
      </w:r>
      <w:r w:rsidRPr="00D56349">
        <w:t xml:space="preserve"> service restructure</w:t>
      </w:r>
      <w:r>
        <w:t>.</w:t>
      </w:r>
    </w:p>
    <w:p w14:paraId="1B056020" w14:textId="019C873E" w:rsidR="00822C3F" w:rsidRPr="006732DE" w:rsidRDefault="00E92B08" w:rsidP="00584DDF">
      <w:pPr>
        <w:pStyle w:val="ListBullet"/>
        <w:rPr>
          <w:lang w:eastAsia="en-GB"/>
        </w:rPr>
      </w:pPr>
      <w:r>
        <w:rPr>
          <w:lang w:eastAsia="en-GB"/>
        </w:rPr>
        <w:t xml:space="preserve">Provision for some groups remains </w:t>
      </w:r>
      <w:bookmarkStart w:id="22" w:name="_Hlk15389805"/>
      <w:r w:rsidR="00F040AF">
        <w:rPr>
          <w:lang w:eastAsia="en-GB"/>
        </w:rPr>
        <w:t>inconsistent across England</w:t>
      </w:r>
      <w:bookmarkEnd w:id="22"/>
      <w:r>
        <w:rPr>
          <w:lang w:eastAsia="en-GB"/>
        </w:rPr>
        <w:t>.</w:t>
      </w:r>
      <w:r w:rsidR="00D75C28">
        <w:rPr>
          <w:lang w:eastAsia="en-GB"/>
        </w:rPr>
        <w:t xml:space="preserve"> </w:t>
      </w:r>
      <w:proofErr w:type="gramStart"/>
      <w:r>
        <w:rPr>
          <w:lang w:eastAsia="en-GB"/>
        </w:rPr>
        <w:t>In particular, those</w:t>
      </w:r>
      <w:proofErr w:type="gramEnd"/>
      <w:r>
        <w:rPr>
          <w:lang w:eastAsia="en-GB"/>
        </w:rPr>
        <w:t xml:space="preserve"> in older age brackets receive support</w:t>
      </w:r>
      <w:r w:rsidRPr="00E92B08">
        <w:rPr>
          <w:lang w:eastAsia="en-GB"/>
        </w:rPr>
        <w:t xml:space="preserve"> </w:t>
      </w:r>
      <w:r>
        <w:rPr>
          <w:lang w:eastAsia="en-GB"/>
        </w:rPr>
        <w:t>in some parts of the country and not others.</w:t>
      </w:r>
    </w:p>
    <w:p w14:paraId="38455EF4" w14:textId="77777777" w:rsidR="00A02ADB" w:rsidRDefault="00A02ADB" w:rsidP="00A02ADB">
      <w:pPr>
        <w:pStyle w:val="ListBullet"/>
        <w:numPr>
          <w:ilvl w:val="0"/>
          <w:numId w:val="0"/>
        </w:numPr>
        <w:ind w:left="360" w:hanging="360"/>
      </w:pPr>
    </w:p>
    <w:p w14:paraId="58587A60" w14:textId="77777777" w:rsidR="00F83C5F" w:rsidRDefault="00F83C5F" w:rsidP="00F83C5F">
      <w:pPr>
        <w:pStyle w:val="Heading3"/>
      </w:pPr>
      <w:r>
        <w:t>Caseload</w:t>
      </w:r>
    </w:p>
    <w:p w14:paraId="555B9681" w14:textId="06C8F8A3" w:rsidR="00F83C5F" w:rsidRDefault="00F83C5F" w:rsidP="00F83C5F">
      <w:r w:rsidRPr="0061253C">
        <w:t xml:space="preserve">The total number of pupils aged 0-25 on vision impairment service caseloads, or known to these services, was </w:t>
      </w:r>
      <w:r w:rsidR="00462896">
        <w:t>30,326</w:t>
      </w:r>
      <w:r w:rsidRPr="0061253C">
        <w:t xml:space="preserve">. </w:t>
      </w:r>
      <w:r>
        <w:t xml:space="preserve">This is likely to be an under estimate </w:t>
      </w:r>
      <w:r w:rsidR="00BA7B4E">
        <w:t>as</w:t>
      </w:r>
      <w:r>
        <w:t xml:space="preserve"> </w:t>
      </w:r>
      <w:r w:rsidR="00BA7B4E">
        <w:t xml:space="preserve">18 </w:t>
      </w:r>
      <w:r>
        <w:t xml:space="preserve">authorities did not provide any figures (including </w:t>
      </w:r>
      <w:r w:rsidR="00B318EF">
        <w:t>five</w:t>
      </w:r>
      <w:r>
        <w:t xml:space="preserve"> authorities who did not respond</w:t>
      </w:r>
      <w:r w:rsidR="00BA7B4E">
        <w:t xml:space="preserve"> to the FOI</w:t>
      </w:r>
      <w:r w:rsidR="00B318EF">
        <w:t xml:space="preserve"> request</w:t>
      </w:r>
      <w:r>
        <w:t>)</w:t>
      </w:r>
      <w:r w:rsidR="005272EB">
        <w:t xml:space="preserve">. In addition, </w:t>
      </w:r>
      <w:r w:rsidR="00A33278">
        <w:t xml:space="preserve">some figures were suppressed </w:t>
      </w:r>
      <w:r w:rsidR="00E36DB3">
        <w:t xml:space="preserve">and not counted </w:t>
      </w:r>
      <w:r w:rsidR="005272EB">
        <w:t>in the year group/support level breakdown</w:t>
      </w:r>
      <w:r w:rsidR="0093542F">
        <w:t>s</w:t>
      </w:r>
      <w:r w:rsidR="005272EB">
        <w:t xml:space="preserve"> </w:t>
      </w:r>
      <w:r w:rsidR="00A33278">
        <w:t xml:space="preserve">by authorities </w:t>
      </w:r>
      <w:r w:rsidR="004B1AE9">
        <w:t>who</w:t>
      </w:r>
      <w:r w:rsidR="00A33278" w:rsidRPr="00584DDF">
        <w:t xml:space="preserve"> stated a figure of ‘less than five’ due to data protection</w:t>
      </w:r>
      <w:r w:rsidR="00BA7B4E">
        <w:t>.</w:t>
      </w:r>
      <w:r w:rsidR="009F0EB5">
        <w:t xml:space="preserve"> </w:t>
      </w:r>
    </w:p>
    <w:p w14:paraId="144B9244" w14:textId="777F3197" w:rsidR="00F83C5F" w:rsidRDefault="00F83C5F" w:rsidP="00F83C5F"/>
    <w:p w14:paraId="659E6238" w14:textId="5B3596C1" w:rsidR="00886A7F" w:rsidRDefault="00886A7F" w:rsidP="00F83C5F">
      <w:r w:rsidRPr="00886A7F">
        <w:t xml:space="preserve">Comparing figures from authorities </w:t>
      </w:r>
      <w:r w:rsidR="008D6341">
        <w:t>that responded to the 2019 and 2017 FOI survey</w:t>
      </w:r>
      <w:r w:rsidRPr="00886A7F">
        <w:t xml:space="preserve">, the number of children with a vision impairment has increased by 7%. Despite the under estimate, this </w:t>
      </w:r>
      <w:r w:rsidR="00241CD1">
        <w:t>demonstrates that</w:t>
      </w:r>
      <w:r w:rsidRPr="00886A7F">
        <w:t xml:space="preserve"> the number </w:t>
      </w:r>
      <w:r w:rsidR="001A732C">
        <w:t xml:space="preserve">of </w:t>
      </w:r>
      <w:r w:rsidRPr="00886A7F">
        <w:t xml:space="preserve">children </w:t>
      </w:r>
      <w:r w:rsidR="001A732C">
        <w:t xml:space="preserve">with vision impairment </w:t>
      </w:r>
      <w:r w:rsidR="00241CD1">
        <w:t>accessing</w:t>
      </w:r>
      <w:r w:rsidRPr="00886A7F">
        <w:t xml:space="preserve"> services is increasing. This mirrors </w:t>
      </w:r>
      <w:r w:rsidR="00F24314">
        <w:t xml:space="preserve">similar </w:t>
      </w:r>
      <w:r w:rsidR="00333CA3">
        <w:t xml:space="preserve">growth </w:t>
      </w:r>
      <w:r w:rsidRPr="00886A7F">
        <w:t>trends seen in SEN</w:t>
      </w:r>
      <w:r w:rsidR="001A732C">
        <w:t>D</w:t>
      </w:r>
      <w:r w:rsidRPr="00886A7F">
        <w:t xml:space="preserve"> figures published by the Department for Education (</w:t>
      </w:r>
      <w:r w:rsidR="00B21A5B">
        <w:t>Department for Education</w:t>
      </w:r>
      <w:r w:rsidRPr="00886A7F">
        <w:t>, 2019).</w:t>
      </w:r>
    </w:p>
    <w:p w14:paraId="6F388ECB" w14:textId="77777777" w:rsidR="00886A7F" w:rsidRDefault="00886A7F" w:rsidP="00F83C5F"/>
    <w:p w14:paraId="3236F17A" w14:textId="3CFDBCDB" w:rsidR="00B456CF" w:rsidRDefault="00C26DA5" w:rsidP="001649C1">
      <w:r>
        <w:t xml:space="preserve">24,990 </w:t>
      </w:r>
      <w:r w:rsidR="001649C1">
        <w:t xml:space="preserve">CYP were recorded on </w:t>
      </w:r>
      <w:r w:rsidR="00250966">
        <w:t xml:space="preserve">active </w:t>
      </w:r>
      <w:r w:rsidR="001649C1">
        <w:t xml:space="preserve">service caseloads with a further </w:t>
      </w:r>
      <w:r>
        <w:t>5,336</w:t>
      </w:r>
      <w:r w:rsidR="001649C1">
        <w:t xml:space="preserve"> CYP known to services. </w:t>
      </w:r>
      <w:r w:rsidR="008B507C">
        <w:t>The split in caseload and CYP known to the service across</w:t>
      </w:r>
      <w:r w:rsidR="001C7219">
        <w:t xml:space="preserve"> different</w:t>
      </w:r>
      <w:r w:rsidR="008B507C">
        <w:t xml:space="preserve"> </w:t>
      </w:r>
      <w:r w:rsidR="00D77BF2">
        <w:t>support levels</w:t>
      </w:r>
      <w:r w:rsidR="008B507C" w:rsidRPr="008B507C">
        <w:rPr>
          <w:color w:val="FF0000"/>
        </w:rPr>
        <w:t xml:space="preserve"> </w:t>
      </w:r>
      <w:r w:rsidR="008B507C">
        <w:t xml:space="preserve">is </w:t>
      </w:r>
      <w:r w:rsidR="0019703A">
        <w:t>detailed</w:t>
      </w:r>
      <w:r w:rsidR="008B507C">
        <w:t xml:space="preserve"> in the table below. </w:t>
      </w:r>
    </w:p>
    <w:p w14:paraId="00DAA6B2" w14:textId="77777777" w:rsidR="00B456CF" w:rsidRDefault="00B456CF" w:rsidP="001649C1"/>
    <w:p w14:paraId="5F39B82E" w14:textId="77777777" w:rsidR="008B507C" w:rsidRPr="00B456CF" w:rsidRDefault="00B456CF" w:rsidP="001649C1">
      <w:pPr>
        <w:rPr>
          <w:b/>
        </w:rPr>
      </w:pPr>
      <w:r w:rsidRPr="00B456CF">
        <w:rPr>
          <w:b/>
        </w:rPr>
        <w:t>Table: Proportion on caseload and known to service by group</w:t>
      </w:r>
    </w:p>
    <w:tbl>
      <w:tblPr>
        <w:tblStyle w:val="TableGrid"/>
        <w:tblW w:w="0" w:type="auto"/>
        <w:tblLook w:val="04A0" w:firstRow="1" w:lastRow="0" w:firstColumn="1" w:lastColumn="0" w:noHBand="0" w:noVBand="1"/>
      </w:tblPr>
      <w:tblGrid>
        <w:gridCol w:w="3539"/>
        <w:gridCol w:w="2410"/>
        <w:gridCol w:w="2410"/>
      </w:tblGrid>
      <w:tr w:rsidR="008B507C" w:rsidRPr="008B507C" w14:paraId="2A41FACF" w14:textId="77777777" w:rsidTr="008B507C">
        <w:trPr>
          <w:trHeight w:val="290"/>
        </w:trPr>
        <w:tc>
          <w:tcPr>
            <w:tcW w:w="3539" w:type="dxa"/>
            <w:noWrap/>
            <w:hideMark/>
          </w:tcPr>
          <w:p w14:paraId="445B9B6C" w14:textId="58CF3BFF" w:rsidR="008B507C" w:rsidRPr="008B507C" w:rsidRDefault="001C7219">
            <w:r>
              <w:t>Support level</w:t>
            </w:r>
          </w:p>
        </w:tc>
        <w:tc>
          <w:tcPr>
            <w:tcW w:w="2410" w:type="dxa"/>
            <w:noWrap/>
            <w:hideMark/>
          </w:tcPr>
          <w:p w14:paraId="096653F5" w14:textId="3C15D7EB" w:rsidR="008B507C" w:rsidRPr="008B507C" w:rsidRDefault="008B507C">
            <w:r>
              <w:t xml:space="preserve">Proportion on </w:t>
            </w:r>
            <w:r w:rsidR="001C7219">
              <w:t xml:space="preserve">active </w:t>
            </w:r>
            <w:r>
              <w:t>c</w:t>
            </w:r>
            <w:r w:rsidRPr="008B507C">
              <w:t>aseload</w:t>
            </w:r>
          </w:p>
        </w:tc>
        <w:tc>
          <w:tcPr>
            <w:tcW w:w="2410" w:type="dxa"/>
            <w:noWrap/>
            <w:hideMark/>
          </w:tcPr>
          <w:p w14:paraId="35AF89B0" w14:textId="77777777" w:rsidR="008B507C" w:rsidRPr="008B507C" w:rsidRDefault="008B507C">
            <w:r>
              <w:t>Proportion k</w:t>
            </w:r>
            <w:r w:rsidRPr="008B507C">
              <w:t>nown to service</w:t>
            </w:r>
          </w:p>
        </w:tc>
      </w:tr>
      <w:tr w:rsidR="008B507C" w:rsidRPr="008B507C" w14:paraId="32CAC99B" w14:textId="77777777" w:rsidTr="008B507C">
        <w:trPr>
          <w:trHeight w:val="290"/>
        </w:trPr>
        <w:tc>
          <w:tcPr>
            <w:tcW w:w="3539" w:type="dxa"/>
            <w:noWrap/>
            <w:hideMark/>
          </w:tcPr>
          <w:p w14:paraId="403F90D2" w14:textId="77777777" w:rsidR="008B507C" w:rsidRPr="008B507C" w:rsidRDefault="008B507C" w:rsidP="008B507C">
            <w:r w:rsidRPr="008B507C">
              <w:t>Education, Health and Care Plan (EHCP)</w:t>
            </w:r>
          </w:p>
        </w:tc>
        <w:tc>
          <w:tcPr>
            <w:tcW w:w="2410" w:type="dxa"/>
            <w:noWrap/>
            <w:hideMark/>
          </w:tcPr>
          <w:p w14:paraId="61A395EA" w14:textId="77777777" w:rsidR="008B507C" w:rsidRPr="00B362C4" w:rsidRDefault="008B507C" w:rsidP="008B507C">
            <w:pPr>
              <w:jc w:val="center"/>
            </w:pPr>
            <w:r w:rsidRPr="00B362C4">
              <w:t>49%</w:t>
            </w:r>
          </w:p>
        </w:tc>
        <w:tc>
          <w:tcPr>
            <w:tcW w:w="2410" w:type="dxa"/>
            <w:noWrap/>
            <w:hideMark/>
          </w:tcPr>
          <w:p w14:paraId="5BBB12BD" w14:textId="77777777" w:rsidR="008B507C" w:rsidRPr="00BB3396" w:rsidRDefault="008B507C" w:rsidP="008B507C">
            <w:pPr>
              <w:jc w:val="center"/>
            </w:pPr>
            <w:r w:rsidRPr="00BB3396">
              <w:t>51%</w:t>
            </w:r>
          </w:p>
        </w:tc>
      </w:tr>
      <w:tr w:rsidR="008B507C" w:rsidRPr="008B507C" w14:paraId="5177544A" w14:textId="77777777" w:rsidTr="008B507C">
        <w:trPr>
          <w:trHeight w:val="290"/>
        </w:trPr>
        <w:tc>
          <w:tcPr>
            <w:tcW w:w="3539" w:type="dxa"/>
            <w:noWrap/>
            <w:hideMark/>
          </w:tcPr>
          <w:p w14:paraId="28A51D32" w14:textId="77777777" w:rsidR="008B507C" w:rsidRPr="008B507C" w:rsidRDefault="008B507C" w:rsidP="008B507C">
            <w:r w:rsidRPr="008B507C">
              <w:t>Special Education Need (SEN) Support</w:t>
            </w:r>
          </w:p>
        </w:tc>
        <w:tc>
          <w:tcPr>
            <w:tcW w:w="2410" w:type="dxa"/>
            <w:noWrap/>
            <w:hideMark/>
          </w:tcPr>
          <w:p w14:paraId="615DD17E" w14:textId="77777777" w:rsidR="008B507C" w:rsidRPr="00B362C4" w:rsidRDefault="008B507C" w:rsidP="008B507C">
            <w:pPr>
              <w:jc w:val="center"/>
            </w:pPr>
            <w:r w:rsidRPr="00B362C4">
              <w:t>44%</w:t>
            </w:r>
          </w:p>
        </w:tc>
        <w:tc>
          <w:tcPr>
            <w:tcW w:w="2410" w:type="dxa"/>
            <w:noWrap/>
            <w:hideMark/>
          </w:tcPr>
          <w:p w14:paraId="673AAFCE" w14:textId="77777777" w:rsidR="008B507C" w:rsidRPr="00BB3396" w:rsidRDefault="008B507C" w:rsidP="008B507C">
            <w:pPr>
              <w:jc w:val="center"/>
            </w:pPr>
            <w:r w:rsidRPr="00BB3396">
              <w:t>41%</w:t>
            </w:r>
          </w:p>
        </w:tc>
      </w:tr>
      <w:tr w:rsidR="008B507C" w:rsidRPr="008B507C" w14:paraId="208C715F" w14:textId="77777777" w:rsidTr="008B507C">
        <w:trPr>
          <w:trHeight w:val="290"/>
        </w:trPr>
        <w:tc>
          <w:tcPr>
            <w:tcW w:w="3539" w:type="dxa"/>
            <w:noWrap/>
            <w:hideMark/>
          </w:tcPr>
          <w:p w14:paraId="69E98EA5" w14:textId="77777777" w:rsidR="008B507C" w:rsidRPr="008B507C" w:rsidRDefault="008B507C" w:rsidP="008B507C">
            <w:r w:rsidRPr="008B507C">
              <w:t>Not yet assessed</w:t>
            </w:r>
          </w:p>
        </w:tc>
        <w:tc>
          <w:tcPr>
            <w:tcW w:w="2410" w:type="dxa"/>
            <w:noWrap/>
            <w:hideMark/>
          </w:tcPr>
          <w:p w14:paraId="40124222" w14:textId="77777777" w:rsidR="008B507C" w:rsidRPr="00B362C4" w:rsidRDefault="008B507C" w:rsidP="008B507C">
            <w:pPr>
              <w:jc w:val="center"/>
            </w:pPr>
            <w:r w:rsidRPr="00B362C4">
              <w:t>4%</w:t>
            </w:r>
          </w:p>
        </w:tc>
        <w:tc>
          <w:tcPr>
            <w:tcW w:w="2410" w:type="dxa"/>
            <w:noWrap/>
            <w:hideMark/>
          </w:tcPr>
          <w:p w14:paraId="177FE54D" w14:textId="77777777" w:rsidR="008B507C" w:rsidRPr="00BB3396" w:rsidRDefault="008B507C" w:rsidP="008B507C">
            <w:pPr>
              <w:jc w:val="center"/>
            </w:pPr>
            <w:r w:rsidRPr="00BB3396">
              <w:t>6%</w:t>
            </w:r>
          </w:p>
        </w:tc>
      </w:tr>
      <w:tr w:rsidR="008B507C" w:rsidRPr="008B507C" w14:paraId="05CB8EFB" w14:textId="77777777" w:rsidTr="008B507C">
        <w:trPr>
          <w:trHeight w:val="290"/>
        </w:trPr>
        <w:tc>
          <w:tcPr>
            <w:tcW w:w="3539" w:type="dxa"/>
            <w:noWrap/>
            <w:hideMark/>
          </w:tcPr>
          <w:p w14:paraId="46E61E68" w14:textId="77777777" w:rsidR="008B507C" w:rsidRPr="008B507C" w:rsidRDefault="008B507C" w:rsidP="008B507C">
            <w:r w:rsidRPr="008B507C">
              <w:t>Other</w:t>
            </w:r>
          </w:p>
        </w:tc>
        <w:tc>
          <w:tcPr>
            <w:tcW w:w="2410" w:type="dxa"/>
            <w:noWrap/>
            <w:hideMark/>
          </w:tcPr>
          <w:p w14:paraId="05294DE8" w14:textId="77777777" w:rsidR="008B507C" w:rsidRDefault="008B507C" w:rsidP="008B507C">
            <w:pPr>
              <w:jc w:val="center"/>
            </w:pPr>
            <w:r w:rsidRPr="00B362C4">
              <w:t>3%</w:t>
            </w:r>
          </w:p>
        </w:tc>
        <w:tc>
          <w:tcPr>
            <w:tcW w:w="2410" w:type="dxa"/>
            <w:noWrap/>
            <w:hideMark/>
          </w:tcPr>
          <w:p w14:paraId="1C9E73C2" w14:textId="77777777" w:rsidR="008B507C" w:rsidRDefault="008B507C" w:rsidP="008B507C">
            <w:pPr>
              <w:jc w:val="center"/>
            </w:pPr>
            <w:r w:rsidRPr="00BB3396">
              <w:t>2%</w:t>
            </w:r>
          </w:p>
        </w:tc>
      </w:tr>
      <w:tr w:rsidR="008B507C" w:rsidRPr="008B507C" w14:paraId="6CAF44DD" w14:textId="77777777" w:rsidTr="008B507C">
        <w:trPr>
          <w:trHeight w:val="290"/>
        </w:trPr>
        <w:tc>
          <w:tcPr>
            <w:tcW w:w="3539" w:type="dxa"/>
            <w:noWrap/>
          </w:tcPr>
          <w:p w14:paraId="6D38DAD1" w14:textId="77777777" w:rsidR="008B507C" w:rsidRPr="008B507C" w:rsidRDefault="008B507C">
            <w:r>
              <w:t>Total for which group data is available</w:t>
            </w:r>
          </w:p>
        </w:tc>
        <w:tc>
          <w:tcPr>
            <w:tcW w:w="2410" w:type="dxa"/>
            <w:noWrap/>
          </w:tcPr>
          <w:p w14:paraId="392F8780" w14:textId="77777777" w:rsidR="008B507C" w:rsidRPr="008B507C" w:rsidRDefault="008B507C" w:rsidP="008B507C">
            <w:pPr>
              <w:jc w:val="center"/>
            </w:pPr>
            <w:r>
              <w:t>89%</w:t>
            </w:r>
          </w:p>
        </w:tc>
        <w:tc>
          <w:tcPr>
            <w:tcW w:w="2410" w:type="dxa"/>
            <w:noWrap/>
          </w:tcPr>
          <w:p w14:paraId="6F6E11D6" w14:textId="77777777" w:rsidR="008B507C" w:rsidRPr="008B507C" w:rsidRDefault="008B507C" w:rsidP="008B507C">
            <w:pPr>
              <w:jc w:val="center"/>
            </w:pPr>
            <w:r>
              <w:t>61%</w:t>
            </w:r>
          </w:p>
        </w:tc>
      </w:tr>
    </w:tbl>
    <w:p w14:paraId="1AF1B186" w14:textId="77777777" w:rsidR="008B507C" w:rsidRDefault="008B507C" w:rsidP="001649C1"/>
    <w:p w14:paraId="4534100F" w14:textId="3EB7F6F3" w:rsidR="00B456CF" w:rsidRDefault="00B456CF" w:rsidP="00B456CF">
      <w:r>
        <w:t>There is little difference between the</w:t>
      </w:r>
      <w:r w:rsidR="000F62E5">
        <w:t xml:space="preserve"> spread of the </w:t>
      </w:r>
      <w:r w:rsidR="00857911">
        <w:t xml:space="preserve">active </w:t>
      </w:r>
      <w:r w:rsidR="000F62E5">
        <w:t xml:space="preserve">caseload or CYP known to services across the different </w:t>
      </w:r>
      <w:r w:rsidR="00154F3D">
        <w:t xml:space="preserve">support </w:t>
      </w:r>
      <w:r w:rsidR="005B083B">
        <w:t>levels</w:t>
      </w:r>
      <w:r w:rsidR="000F62E5">
        <w:t>.</w:t>
      </w:r>
      <w:r>
        <w:t xml:space="preserve"> </w:t>
      </w:r>
      <w:r w:rsidR="000F62E5">
        <w:t>C</w:t>
      </w:r>
      <w:r>
        <w:t xml:space="preserve">hildren on an </w:t>
      </w:r>
      <w:r w:rsidRPr="008B507C">
        <w:t>Education, Health and Care Plan</w:t>
      </w:r>
      <w:r>
        <w:t xml:space="preserve"> </w:t>
      </w:r>
      <w:r w:rsidR="000F62E5">
        <w:t>make</w:t>
      </w:r>
      <w:r>
        <w:t xml:space="preserve"> up the largest </w:t>
      </w:r>
      <w:r w:rsidR="00A05BA4">
        <w:t>cohort</w:t>
      </w:r>
      <w:r>
        <w:t xml:space="preserve">, followed by those in need of </w:t>
      </w:r>
      <w:r w:rsidRPr="008B507C">
        <w:t>Special Education Need (SEN) Support</w:t>
      </w:r>
      <w:r>
        <w:t xml:space="preserve">. Only a small proportion of CYP were reported as not yet assessed or belonging to a </w:t>
      </w:r>
      <w:r w:rsidR="00735C0A">
        <w:t>non-categorised</w:t>
      </w:r>
      <w:r>
        <w:t xml:space="preserve"> </w:t>
      </w:r>
      <w:r w:rsidR="00D432A5">
        <w:t xml:space="preserve">support </w:t>
      </w:r>
      <w:r>
        <w:t>group</w:t>
      </w:r>
      <w:r w:rsidR="00735C0A">
        <w:t xml:space="preserve"> (other)</w:t>
      </w:r>
      <w:r>
        <w:t>.</w:t>
      </w:r>
    </w:p>
    <w:p w14:paraId="7958F9FE" w14:textId="77777777" w:rsidR="001649C1" w:rsidRDefault="001649C1" w:rsidP="001649C1"/>
    <w:p w14:paraId="657B90B7" w14:textId="2220DE58" w:rsidR="00B456CF" w:rsidRDefault="00B456CF" w:rsidP="001649C1">
      <w:r>
        <w:t xml:space="preserve">Year group analysis for CYP receiving support is </w:t>
      </w:r>
      <w:r w:rsidR="000F62E5">
        <w:t>detailed</w:t>
      </w:r>
      <w:r>
        <w:t xml:space="preserve"> </w:t>
      </w:r>
      <w:r w:rsidR="000F62E5">
        <w:t xml:space="preserve">in the table </w:t>
      </w:r>
      <w:r>
        <w:t xml:space="preserve">below, </w:t>
      </w:r>
      <w:r w:rsidR="00D432A5">
        <w:t>separated by</w:t>
      </w:r>
      <w:r>
        <w:t xml:space="preserve"> those on the </w:t>
      </w:r>
      <w:r w:rsidR="00B41DB2">
        <w:t xml:space="preserve">active </w:t>
      </w:r>
      <w:r>
        <w:t>caseload and</w:t>
      </w:r>
      <w:r w:rsidR="00D432A5">
        <w:t xml:space="preserve"> those</w:t>
      </w:r>
      <w:r>
        <w:t xml:space="preserve"> known to the service.</w:t>
      </w:r>
    </w:p>
    <w:p w14:paraId="506B97AB" w14:textId="77777777" w:rsidR="001649C1" w:rsidRDefault="001649C1" w:rsidP="001649C1"/>
    <w:p w14:paraId="4AA65722" w14:textId="77777777" w:rsidR="00B456CF" w:rsidRPr="00B456CF" w:rsidRDefault="00B456CF" w:rsidP="00B456CF">
      <w:pPr>
        <w:rPr>
          <w:b/>
        </w:rPr>
      </w:pPr>
      <w:r w:rsidRPr="00B456CF">
        <w:rPr>
          <w:b/>
        </w:rPr>
        <w:t xml:space="preserve">Table: Proportion on caseload and known to service by </w:t>
      </w:r>
      <w:r w:rsidR="0031776A">
        <w:rPr>
          <w:b/>
        </w:rPr>
        <w:t>year</w:t>
      </w:r>
      <w:r>
        <w:rPr>
          <w:b/>
        </w:rPr>
        <w:t xml:space="preserve"> </w:t>
      </w:r>
      <w:r w:rsidRPr="00B456CF">
        <w:rPr>
          <w:b/>
        </w:rPr>
        <w:t>group</w:t>
      </w:r>
    </w:p>
    <w:tbl>
      <w:tblPr>
        <w:tblStyle w:val="TableGrid"/>
        <w:tblW w:w="0" w:type="auto"/>
        <w:tblLook w:val="04A0" w:firstRow="1" w:lastRow="0" w:firstColumn="1" w:lastColumn="0" w:noHBand="0" w:noVBand="1"/>
      </w:tblPr>
      <w:tblGrid>
        <w:gridCol w:w="3539"/>
        <w:gridCol w:w="2410"/>
        <w:gridCol w:w="2410"/>
      </w:tblGrid>
      <w:tr w:rsidR="00B456CF" w:rsidRPr="00B456CF" w14:paraId="68470B4F" w14:textId="77777777" w:rsidTr="0031776A">
        <w:trPr>
          <w:trHeight w:val="300"/>
        </w:trPr>
        <w:tc>
          <w:tcPr>
            <w:tcW w:w="3539" w:type="dxa"/>
            <w:noWrap/>
            <w:hideMark/>
          </w:tcPr>
          <w:p w14:paraId="6A698F49" w14:textId="1EF687EA" w:rsidR="00B456CF" w:rsidRPr="00B456CF" w:rsidRDefault="00EE4555">
            <w:r>
              <w:t>Year group</w:t>
            </w:r>
            <w:r w:rsidR="00054F82">
              <w:t xml:space="preserve"> category</w:t>
            </w:r>
          </w:p>
        </w:tc>
        <w:tc>
          <w:tcPr>
            <w:tcW w:w="2410" w:type="dxa"/>
            <w:noWrap/>
            <w:hideMark/>
          </w:tcPr>
          <w:p w14:paraId="6EAADED9" w14:textId="135B0766" w:rsidR="00B456CF" w:rsidRPr="00B456CF" w:rsidRDefault="00B456CF">
            <w:r w:rsidRPr="00B456CF">
              <w:t>Proportion on</w:t>
            </w:r>
            <w:r w:rsidR="00F54A82">
              <w:t xml:space="preserve"> active </w:t>
            </w:r>
            <w:r w:rsidRPr="00B456CF">
              <w:t>caseload</w:t>
            </w:r>
          </w:p>
        </w:tc>
        <w:tc>
          <w:tcPr>
            <w:tcW w:w="2410" w:type="dxa"/>
            <w:noWrap/>
            <w:hideMark/>
          </w:tcPr>
          <w:p w14:paraId="2C342A49" w14:textId="77777777" w:rsidR="00B456CF" w:rsidRPr="00B456CF" w:rsidRDefault="00B456CF">
            <w:r w:rsidRPr="00B456CF">
              <w:t>Proportion known to service</w:t>
            </w:r>
          </w:p>
        </w:tc>
      </w:tr>
      <w:tr w:rsidR="00B456CF" w:rsidRPr="00B456CF" w14:paraId="5502A2A4" w14:textId="77777777" w:rsidTr="0031776A">
        <w:trPr>
          <w:trHeight w:val="290"/>
        </w:trPr>
        <w:tc>
          <w:tcPr>
            <w:tcW w:w="3539" w:type="dxa"/>
            <w:noWrap/>
            <w:hideMark/>
          </w:tcPr>
          <w:p w14:paraId="0889B8E8" w14:textId="77777777" w:rsidR="00B456CF" w:rsidRPr="00B456CF" w:rsidRDefault="00B456CF">
            <w:r w:rsidRPr="00B456CF">
              <w:t>Early Years Foundation Stage (EYFS)</w:t>
            </w:r>
          </w:p>
        </w:tc>
        <w:tc>
          <w:tcPr>
            <w:tcW w:w="2410" w:type="dxa"/>
            <w:noWrap/>
            <w:hideMark/>
          </w:tcPr>
          <w:p w14:paraId="268762A4" w14:textId="77777777" w:rsidR="00B456CF" w:rsidRPr="00B456CF" w:rsidRDefault="00B456CF" w:rsidP="0031776A">
            <w:pPr>
              <w:jc w:val="center"/>
            </w:pPr>
            <w:r w:rsidRPr="00B456CF">
              <w:t>18%</w:t>
            </w:r>
          </w:p>
        </w:tc>
        <w:tc>
          <w:tcPr>
            <w:tcW w:w="2410" w:type="dxa"/>
            <w:noWrap/>
            <w:hideMark/>
          </w:tcPr>
          <w:p w14:paraId="32DFF68F" w14:textId="77777777" w:rsidR="00B456CF" w:rsidRPr="00B456CF" w:rsidRDefault="00B456CF" w:rsidP="0031776A">
            <w:pPr>
              <w:jc w:val="center"/>
            </w:pPr>
            <w:r w:rsidRPr="00B456CF">
              <w:t>6%</w:t>
            </w:r>
          </w:p>
        </w:tc>
      </w:tr>
      <w:tr w:rsidR="00B456CF" w:rsidRPr="00B456CF" w14:paraId="100E991E" w14:textId="77777777" w:rsidTr="0031776A">
        <w:trPr>
          <w:trHeight w:val="290"/>
        </w:trPr>
        <w:tc>
          <w:tcPr>
            <w:tcW w:w="3539" w:type="dxa"/>
            <w:noWrap/>
            <w:hideMark/>
          </w:tcPr>
          <w:p w14:paraId="61264D7C" w14:textId="77777777" w:rsidR="00B456CF" w:rsidRPr="00B456CF" w:rsidRDefault="00B456CF">
            <w:r w:rsidRPr="00B456CF">
              <w:t>Year 1 to Year 6</w:t>
            </w:r>
          </w:p>
        </w:tc>
        <w:tc>
          <w:tcPr>
            <w:tcW w:w="2410" w:type="dxa"/>
            <w:noWrap/>
            <w:hideMark/>
          </w:tcPr>
          <w:p w14:paraId="15777B12" w14:textId="77777777" w:rsidR="00B456CF" w:rsidRPr="00B456CF" w:rsidRDefault="00B456CF" w:rsidP="0031776A">
            <w:pPr>
              <w:jc w:val="center"/>
            </w:pPr>
            <w:r w:rsidRPr="00B456CF">
              <w:t>42%</w:t>
            </w:r>
          </w:p>
        </w:tc>
        <w:tc>
          <w:tcPr>
            <w:tcW w:w="2410" w:type="dxa"/>
            <w:noWrap/>
            <w:hideMark/>
          </w:tcPr>
          <w:p w14:paraId="23B92008" w14:textId="77777777" w:rsidR="00B456CF" w:rsidRPr="00B456CF" w:rsidRDefault="00B456CF" w:rsidP="0031776A">
            <w:pPr>
              <w:jc w:val="center"/>
            </w:pPr>
            <w:r w:rsidRPr="00B456CF">
              <w:t>33%</w:t>
            </w:r>
          </w:p>
        </w:tc>
      </w:tr>
      <w:tr w:rsidR="00B456CF" w:rsidRPr="00B456CF" w14:paraId="3A93C4F5" w14:textId="77777777" w:rsidTr="0031776A">
        <w:trPr>
          <w:trHeight w:val="290"/>
        </w:trPr>
        <w:tc>
          <w:tcPr>
            <w:tcW w:w="3539" w:type="dxa"/>
            <w:noWrap/>
            <w:hideMark/>
          </w:tcPr>
          <w:p w14:paraId="1B14CEF2" w14:textId="77777777" w:rsidR="00B456CF" w:rsidRPr="00B456CF" w:rsidRDefault="00B456CF">
            <w:r w:rsidRPr="00B456CF">
              <w:lastRenderedPageBreak/>
              <w:t>Year 7 to Year 11</w:t>
            </w:r>
          </w:p>
        </w:tc>
        <w:tc>
          <w:tcPr>
            <w:tcW w:w="2410" w:type="dxa"/>
            <w:noWrap/>
            <w:hideMark/>
          </w:tcPr>
          <w:p w14:paraId="0853D27D" w14:textId="77777777" w:rsidR="00B456CF" w:rsidRPr="00B456CF" w:rsidRDefault="00B456CF" w:rsidP="0031776A">
            <w:pPr>
              <w:jc w:val="center"/>
            </w:pPr>
            <w:r w:rsidRPr="00B456CF">
              <w:t>29%</w:t>
            </w:r>
          </w:p>
        </w:tc>
        <w:tc>
          <w:tcPr>
            <w:tcW w:w="2410" w:type="dxa"/>
            <w:noWrap/>
            <w:hideMark/>
          </w:tcPr>
          <w:p w14:paraId="12BEBE35" w14:textId="77777777" w:rsidR="00B456CF" w:rsidRPr="00B456CF" w:rsidRDefault="00B456CF" w:rsidP="0031776A">
            <w:pPr>
              <w:jc w:val="center"/>
            </w:pPr>
            <w:r w:rsidRPr="00B456CF">
              <w:t>35%</w:t>
            </w:r>
          </w:p>
        </w:tc>
      </w:tr>
      <w:tr w:rsidR="00B456CF" w:rsidRPr="00B456CF" w14:paraId="295A6184" w14:textId="77777777" w:rsidTr="0031776A">
        <w:trPr>
          <w:trHeight w:val="290"/>
        </w:trPr>
        <w:tc>
          <w:tcPr>
            <w:tcW w:w="3539" w:type="dxa"/>
            <w:noWrap/>
            <w:hideMark/>
          </w:tcPr>
          <w:p w14:paraId="51F7AC57" w14:textId="77777777" w:rsidR="00B456CF" w:rsidRPr="00B456CF" w:rsidRDefault="00B456CF">
            <w:r w:rsidRPr="00B456CF">
              <w:t>Year 12 to Year 13</w:t>
            </w:r>
          </w:p>
        </w:tc>
        <w:tc>
          <w:tcPr>
            <w:tcW w:w="2410" w:type="dxa"/>
            <w:noWrap/>
            <w:hideMark/>
          </w:tcPr>
          <w:p w14:paraId="259B6E6F" w14:textId="77777777" w:rsidR="00B456CF" w:rsidRPr="00B456CF" w:rsidRDefault="00B456CF" w:rsidP="0031776A">
            <w:pPr>
              <w:jc w:val="center"/>
            </w:pPr>
            <w:r w:rsidRPr="00B456CF">
              <w:t>7%</w:t>
            </w:r>
          </w:p>
        </w:tc>
        <w:tc>
          <w:tcPr>
            <w:tcW w:w="2410" w:type="dxa"/>
            <w:noWrap/>
            <w:hideMark/>
          </w:tcPr>
          <w:p w14:paraId="56E85038" w14:textId="77777777" w:rsidR="00B456CF" w:rsidRPr="00B456CF" w:rsidRDefault="00B456CF" w:rsidP="0031776A">
            <w:pPr>
              <w:jc w:val="center"/>
            </w:pPr>
            <w:r w:rsidRPr="00B456CF">
              <w:t>14%</w:t>
            </w:r>
          </w:p>
        </w:tc>
      </w:tr>
      <w:tr w:rsidR="00B456CF" w:rsidRPr="00B456CF" w14:paraId="2BFC1945" w14:textId="77777777" w:rsidTr="0031776A">
        <w:trPr>
          <w:trHeight w:val="290"/>
        </w:trPr>
        <w:tc>
          <w:tcPr>
            <w:tcW w:w="3539" w:type="dxa"/>
            <w:noWrap/>
            <w:hideMark/>
          </w:tcPr>
          <w:p w14:paraId="0B5BD162" w14:textId="77777777" w:rsidR="00B456CF" w:rsidRPr="00B456CF" w:rsidRDefault="00B456CF">
            <w:r w:rsidRPr="00B456CF">
              <w:t>Above Year 13</w:t>
            </w:r>
          </w:p>
        </w:tc>
        <w:tc>
          <w:tcPr>
            <w:tcW w:w="2410" w:type="dxa"/>
            <w:noWrap/>
            <w:hideMark/>
          </w:tcPr>
          <w:p w14:paraId="5C7C5A91" w14:textId="77777777" w:rsidR="00B456CF" w:rsidRPr="00B456CF" w:rsidRDefault="00B456CF" w:rsidP="0031776A">
            <w:pPr>
              <w:jc w:val="center"/>
            </w:pPr>
            <w:r w:rsidRPr="00B456CF">
              <w:t>4%</w:t>
            </w:r>
          </w:p>
        </w:tc>
        <w:tc>
          <w:tcPr>
            <w:tcW w:w="2410" w:type="dxa"/>
            <w:noWrap/>
            <w:hideMark/>
          </w:tcPr>
          <w:p w14:paraId="29AB4ED5" w14:textId="77777777" w:rsidR="00B456CF" w:rsidRPr="00B456CF" w:rsidRDefault="00B456CF" w:rsidP="0031776A">
            <w:pPr>
              <w:jc w:val="center"/>
            </w:pPr>
            <w:r w:rsidRPr="00B456CF">
              <w:t>11%</w:t>
            </w:r>
          </w:p>
        </w:tc>
      </w:tr>
      <w:tr w:rsidR="00B456CF" w:rsidRPr="00B456CF" w14:paraId="0EC43B54" w14:textId="77777777" w:rsidTr="0031776A">
        <w:trPr>
          <w:trHeight w:val="290"/>
        </w:trPr>
        <w:tc>
          <w:tcPr>
            <w:tcW w:w="3539" w:type="dxa"/>
            <w:noWrap/>
            <w:hideMark/>
          </w:tcPr>
          <w:p w14:paraId="01624862" w14:textId="77777777" w:rsidR="00B456CF" w:rsidRPr="00B456CF" w:rsidRDefault="00B456CF">
            <w:r w:rsidRPr="00B456CF">
              <w:t>Proportion with age data available</w:t>
            </w:r>
          </w:p>
        </w:tc>
        <w:tc>
          <w:tcPr>
            <w:tcW w:w="2410" w:type="dxa"/>
            <w:noWrap/>
            <w:hideMark/>
          </w:tcPr>
          <w:p w14:paraId="327F82B0" w14:textId="77777777" w:rsidR="00B456CF" w:rsidRPr="00B456CF" w:rsidRDefault="00B456CF" w:rsidP="0031776A">
            <w:pPr>
              <w:jc w:val="center"/>
            </w:pPr>
            <w:r w:rsidRPr="00B456CF">
              <w:t>99%</w:t>
            </w:r>
          </w:p>
        </w:tc>
        <w:tc>
          <w:tcPr>
            <w:tcW w:w="2410" w:type="dxa"/>
            <w:noWrap/>
            <w:hideMark/>
          </w:tcPr>
          <w:p w14:paraId="60C55E6C" w14:textId="77777777" w:rsidR="00B456CF" w:rsidRPr="00B456CF" w:rsidRDefault="00B456CF" w:rsidP="0031776A">
            <w:pPr>
              <w:jc w:val="center"/>
            </w:pPr>
            <w:r w:rsidRPr="00B456CF">
              <w:t>98%</w:t>
            </w:r>
          </w:p>
        </w:tc>
      </w:tr>
    </w:tbl>
    <w:p w14:paraId="1924B878" w14:textId="77777777" w:rsidR="00B456CF" w:rsidRDefault="00B456CF" w:rsidP="001649C1"/>
    <w:p w14:paraId="30C59ADA" w14:textId="061E6BD5" w:rsidR="00B456CF" w:rsidRDefault="00783BD7" w:rsidP="001649C1">
      <w:r>
        <w:t>Year</w:t>
      </w:r>
      <w:r w:rsidR="0031776A">
        <w:t xml:space="preserve"> group figures were provided by most authorities. CYP on the </w:t>
      </w:r>
      <w:r w:rsidR="00292F08">
        <w:t xml:space="preserve">active </w:t>
      </w:r>
      <w:r w:rsidR="0031776A">
        <w:t>caseload tended to show a younger demographic than those</w:t>
      </w:r>
      <w:r w:rsidR="00016E20">
        <w:t xml:space="preserve"> known to the service</w:t>
      </w:r>
      <w:r w:rsidR="008473E2">
        <w:t>.</w:t>
      </w:r>
      <w:r w:rsidR="0031776A">
        <w:t xml:space="preserve"> The largest </w:t>
      </w:r>
      <w:r>
        <w:t>year</w:t>
      </w:r>
      <w:r w:rsidR="0031776A">
        <w:t xml:space="preserve"> group for CYP on the </w:t>
      </w:r>
      <w:r w:rsidR="005B0465">
        <w:t xml:space="preserve">active </w:t>
      </w:r>
      <w:r w:rsidR="0031776A">
        <w:t>caseload was year 1 to year 6, at 42%. Just 11% were year 12 or above. Whereas</w:t>
      </w:r>
      <w:r w:rsidR="000F62E5">
        <w:t>,</w:t>
      </w:r>
      <w:r w:rsidR="0031776A">
        <w:t xml:space="preserve"> of those known to the service, the largest </w:t>
      </w:r>
      <w:r>
        <w:t>year</w:t>
      </w:r>
      <w:r w:rsidR="0031776A">
        <w:t xml:space="preserve"> group was year 7 to year 11 and 25% were year 12 or above.</w:t>
      </w:r>
    </w:p>
    <w:p w14:paraId="27D26D12" w14:textId="77777777" w:rsidR="00B456CF" w:rsidRDefault="00B456CF" w:rsidP="001649C1"/>
    <w:p w14:paraId="75D492A4" w14:textId="753459D9" w:rsidR="00D200AC" w:rsidRDefault="002A2786" w:rsidP="001649C1">
      <w:r>
        <w:t xml:space="preserve">This indicates </w:t>
      </w:r>
      <w:r w:rsidR="002B2A30">
        <w:t xml:space="preserve">that, </w:t>
      </w:r>
      <w:r>
        <w:t xml:space="preserve">as children grow older, they are </w:t>
      </w:r>
      <w:r w:rsidR="00076796">
        <w:t>receiving</w:t>
      </w:r>
      <w:r>
        <w:t xml:space="preserve"> less </w:t>
      </w:r>
      <w:r w:rsidR="00175B75">
        <w:t xml:space="preserve">intensive </w:t>
      </w:r>
      <w:r>
        <w:t xml:space="preserve">support. This could be due to </w:t>
      </w:r>
      <w:proofErr w:type="gramStart"/>
      <w:r>
        <w:t>a number of</w:t>
      </w:r>
      <w:proofErr w:type="gramEnd"/>
      <w:r>
        <w:t xml:space="preserve"> reasons</w:t>
      </w:r>
      <w:r w:rsidR="00175B75">
        <w:t xml:space="preserve">. </w:t>
      </w:r>
      <w:r w:rsidR="00067E0C">
        <w:t>However, there</w:t>
      </w:r>
      <w:r w:rsidR="00175B75">
        <w:t xml:space="preserve"> is a risk that </w:t>
      </w:r>
      <w:r w:rsidR="00067E0C">
        <w:t>reducing support</w:t>
      </w:r>
      <w:r w:rsidR="00175B75">
        <w:t xml:space="preserve"> could be detrimental to the outcomes for </w:t>
      </w:r>
      <w:r w:rsidR="00CB5837">
        <w:t>CYP</w:t>
      </w:r>
      <w:r w:rsidR="00175B75">
        <w:t xml:space="preserve"> in </w:t>
      </w:r>
      <w:r w:rsidR="008717D8">
        <w:t>older</w:t>
      </w:r>
      <w:r w:rsidR="00175B75">
        <w:t xml:space="preserve"> age group</w:t>
      </w:r>
      <w:r w:rsidR="008717D8">
        <w:t>s</w:t>
      </w:r>
      <w:r w:rsidR="00175B75">
        <w:t>, depending on the reasons for reduction in intensity of support.</w:t>
      </w:r>
    </w:p>
    <w:p w14:paraId="2E17A47C" w14:textId="77777777" w:rsidR="0031776A" w:rsidRPr="00F83C5F" w:rsidRDefault="0031776A" w:rsidP="001649C1"/>
    <w:p w14:paraId="5C0DEBCE" w14:textId="77777777" w:rsidR="00F83C5F" w:rsidRDefault="00584DDF" w:rsidP="00584DDF">
      <w:pPr>
        <w:pStyle w:val="Heading3"/>
      </w:pPr>
      <w:proofErr w:type="spellStart"/>
      <w:r>
        <w:t>Braillists</w:t>
      </w:r>
      <w:proofErr w:type="spellEnd"/>
    </w:p>
    <w:p w14:paraId="1D1C37F9" w14:textId="51151AE9" w:rsidR="00584DDF" w:rsidRDefault="00584DDF" w:rsidP="00584DDF">
      <w:r w:rsidRPr="00584DDF">
        <w:t xml:space="preserve">The total number </w:t>
      </w:r>
      <w:r w:rsidR="00672CE8">
        <w:t xml:space="preserve">of </w:t>
      </w:r>
      <w:r w:rsidR="0081250C">
        <w:t xml:space="preserve">CYP </w:t>
      </w:r>
      <w:r w:rsidR="00293AC1">
        <w:t xml:space="preserve">supported </w:t>
      </w:r>
      <w:r w:rsidR="00293AC1" w:rsidRPr="00584DDF">
        <w:t>across 1</w:t>
      </w:r>
      <w:r w:rsidR="00293AC1">
        <w:t>20</w:t>
      </w:r>
      <w:r w:rsidR="00293AC1" w:rsidRPr="00584DDF">
        <w:t xml:space="preserve"> local authorities </w:t>
      </w:r>
      <w:r w:rsidR="0081250C">
        <w:t>using braille as their main or sole medium</w:t>
      </w:r>
      <w:r w:rsidR="00293AC1">
        <w:t xml:space="preserve"> </w:t>
      </w:r>
      <w:r w:rsidRPr="00584DDF">
        <w:t>was 8</w:t>
      </w:r>
      <w:r w:rsidR="00DF4004">
        <w:t>69</w:t>
      </w:r>
      <w:r w:rsidRPr="00584DDF">
        <w:t xml:space="preserve">. This </w:t>
      </w:r>
      <w:r w:rsidR="002D6298">
        <w:t>number</w:t>
      </w:r>
      <w:r w:rsidRPr="00584DDF">
        <w:t xml:space="preserve"> would be higher if figures were available for </w:t>
      </w:r>
      <w:r w:rsidR="000F62E5">
        <w:t>all</w:t>
      </w:r>
      <w:r w:rsidRPr="00584DDF">
        <w:t xml:space="preserve"> authorities. </w:t>
      </w:r>
    </w:p>
    <w:p w14:paraId="5E9C01C7" w14:textId="77777777" w:rsidR="00584DDF" w:rsidRDefault="00584DDF" w:rsidP="00584DDF"/>
    <w:p w14:paraId="21FD2395" w14:textId="77777777" w:rsidR="00584DDF" w:rsidRDefault="00DF4004" w:rsidP="00584DDF">
      <w:r>
        <w:t>Thirty-two</w:t>
      </w:r>
      <w:r w:rsidR="00584DDF" w:rsidRPr="00584DDF">
        <w:t xml:space="preserve"> authorities did not respond to this question or stated a figure of ‘less than five’ due to data protection. This represents nearly a quarter of authorities for which we have no data.</w:t>
      </w:r>
    </w:p>
    <w:p w14:paraId="074AE160" w14:textId="77777777" w:rsidR="00584DDF" w:rsidRDefault="00584DDF" w:rsidP="00584DDF"/>
    <w:p w14:paraId="5EB4D5F9" w14:textId="6B378810" w:rsidR="00584DDF" w:rsidRPr="00584DDF" w:rsidRDefault="00584DDF" w:rsidP="00584DDF">
      <w:r>
        <w:t xml:space="preserve">Were data available for these authorities, it is likely the figure would be close to the </w:t>
      </w:r>
      <w:r w:rsidRPr="00584DDF">
        <w:t>1</w:t>
      </w:r>
      <w:r>
        <w:t>,</w:t>
      </w:r>
      <w:r w:rsidRPr="00584DDF">
        <w:t xml:space="preserve">077 </w:t>
      </w:r>
      <w:proofErr w:type="spellStart"/>
      <w:r w:rsidRPr="00584DDF">
        <w:t>braillists</w:t>
      </w:r>
      <w:proofErr w:type="spellEnd"/>
      <w:r w:rsidRPr="00584DDF">
        <w:t xml:space="preserve"> supported by or known to vision impairment services</w:t>
      </w:r>
      <w:r>
        <w:t xml:space="preserve"> </w:t>
      </w:r>
      <w:r w:rsidR="005900E0">
        <w:t xml:space="preserve">recorded </w:t>
      </w:r>
      <w:r>
        <w:t>in 2017. A</w:t>
      </w:r>
      <w:r w:rsidR="0004596C">
        <w:t>n</w:t>
      </w:r>
      <w:r>
        <w:t xml:space="preserve"> estimate of the </w:t>
      </w:r>
      <w:r w:rsidR="0004596C">
        <w:t>total across all authorities</w:t>
      </w:r>
      <w:r w:rsidR="006161D3">
        <w:t>,</w:t>
      </w:r>
      <w:r>
        <w:t xml:space="preserve"> in line with the</w:t>
      </w:r>
      <w:r w:rsidR="000F62E5">
        <w:t xml:space="preserve"> numbers we do have</w:t>
      </w:r>
      <w:r w:rsidR="006161D3">
        <w:t>,</w:t>
      </w:r>
      <w:r w:rsidR="000F62E5">
        <w:t xml:space="preserve"> suggests an additional 1</w:t>
      </w:r>
      <w:r w:rsidR="003368F7">
        <w:t>8</w:t>
      </w:r>
      <w:r w:rsidR="000F62E5">
        <w:t xml:space="preserve">0 </w:t>
      </w:r>
      <w:proofErr w:type="spellStart"/>
      <w:r w:rsidR="000F62E5">
        <w:t>braillists</w:t>
      </w:r>
      <w:proofErr w:type="spellEnd"/>
      <w:r w:rsidR="000F62E5">
        <w:t xml:space="preserve"> across the non-responding authorities. This would give a total</w:t>
      </w:r>
      <w:r>
        <w:t xml:space="preserve"> in the region of 1,0</w:t>
      </w:r>
      <w:r w:rsidR="003368F7">
        <w:t>5</w:t>
      </w:r>
      <w:r w:rsidR="00DD116F">
        <w:t>0</w:t>
      </w:r>
      <w:r>
        <w:t xml:space="preserve"> for 2019.</w:t>
      </w:r>
    </w:p>
    <w:p w14:paraId="5A8190D7" w14:textId="77777777" w:rsidR="00F83C5F" w:rsidRDefault="00F83C5F" w:rsidP="00A02ADB">
      <w:pPr>
        <w:pStyle w:val="ListBullet"/>
        <w:numPr>
          <w:ilvl w:val="0"/>
          <w:numId w:val="0"/>
        </w:numPr>
        <w:ind w:left="360" w:hanging="360"/>
      </w:pPr>
    </w:p>
    <w:p w14:paraId="379E6AB6" w14:textId="77777777" w:rsidR="00E32BE9" w:rsidRDefault="00E32BE9" w:rsidP="00E32BE9">
      <w:pPr>
        <w:pStyle w:val="Heading3"/>
      </w:pPr>
      <w:r>
        <w:t>Additional SEN</w:t>
      </w:r>
    </w:p>
    <w:p w14:paraId="5370A374" w14:textId="253B31B6" w:rsidR="00E32BE9" w:rsidRDefault="00E32BE9" w:rsidP="00B24313">
      <w:r>
        <w:t xml:space="preserve">Authorities were asked to provide information on the number of </w:t>
      </w:r>
      <w:r w:rsidR="00B24313">
        <w:t>CYP on the active caseload with other SEN</w:t>
      </w:r>
      <w:r w:rsidR="00F655D3">
        <w:t>D</w:t>
      </w:r>
      <w:r w:rsidR="00B4427D">
        <w:t xml:space="preserve"> </w:t>
      </w:r>
      <w:r w:rsidR="00B24313">
        <w:t xml:space="preserve">additional complex needs, in addition to </w:t>
      </w:r>
      <w:r w:rsidR="000649C8">
        <w:t>vision</w:t>
      </w:r>
      <w:r w:rsidR="00B24313">
        <w:t xml:space="preserve"> impairment. Of authorities responding, 49% of CYP on the active caseload were found to have additional needs</w:t>
      </w:r>
      <w:r w:rsidR="00984F34">
        <w:t>.</w:t>
      </w:r>
      <w:r w:rsidR="00B24313" w:rsidDel="00984F34">
        <w:t xml:space="preserve"> </w:t>
      </w:r>
      <w:r w:rsidR="00B24313">
        <w:t xml:space="preserve">This is in line with findings from previous research that suggests half of children with </w:t>
      </w:r>
      <w:r w:rsidR="000649C8">
        <w:lastRenderedPageBreak/>
        <w:t>vision</w:t>
      </w:r>
      <w:r w:rsidR="00B24313">
        <w:t xml:space="preserve"> impairment have additional needs</w:t>
      </w:r>
      <w:r w:rsidR="00505A5F">
        <w:t xml:space="preserve"> (Keil, </w:t>
      </w:r>
      <w:r w:rsidR="00866210">
        <w:t>2018)</w:t>
      </w:r>
      <w:r w:rsidR="00B24313">
        <w:t>.</w:t>
      </w:r>
      <w:r w:rsidR="005A4A1A">
        <w:t xml:space="preserve"> For these CYP, </w:t>
      </w:r>
      <w:r w:rsidR="000649C8">
        <w:t>vision</w:t>
      </w:r>
      <w:r w:rsidR="005A4A1A">
        <w:t xml:space="preserve"> impairment may not be recorded as their primary SEN.</w:t>
      </w:r>
    </w:p>
    <w:p w14:paraId="233B8317" w14:textId="77777777" w:rsidR="005A4A1A" w:rsidRDefault="005A4A1A" w:rsidP="00B24313"/>
    <w:p w14:paraId="3D20DD0D" w14:textId="764891D4" w:rsidR="005A4A1A" w:rsidRDefault="005A4A1A" w:rsidP="00B24313">
      <w:r>
        <w:t>The proportional split of children with additional needs by year group mirrors that across the active caseload.</w:t>
      </w:r>
      <w:r w:rsidR="00DE521F">
        <w:t xml:space="preserve"> When comparing the split by differen</w:t>
      </w:r>
      <w:r w:rsidR="002C358D">
        <w:t>t support levels</w:t>
      </w:r>
      <w:r w:rsidR="00DE521F">
        <w:t xml:space="preserve">, </w:t>
      </w:r>
      <w:r w:rsidR="00791B68">
        <w:t>CYP with additional needs are more likely to have an EHCP and less likely to be on SEN support, as can be seen in the table below.</w:t>
      </w:r>
    </w:p>
    <w:p w14:paraId="30CD1171" w14:textId="77777777" w:rsidR="00B24313" w:rsidRDefault="00B24313" w:rsidP="00B24313"/>
    <w:p w14:paraId="4622EE19" w14:textId="4C0ECBAB" w:rsidR="005A4A1A" w:rsidRPr="00B456CF" w:rsidRDefault="005A4A1A" w:rsidP="005A4A1A">
      <w:pPr>
        <w:rPr>
          <w:b/>
        </w:rPr>
      </w:pPr>
      <w:r w:rsidRPr="00B456CF">
        <w:rPr>
          <w:b/>
        </w:rPr>
        <w:t xml:space="preserve">Table: Proportion on caseload </w:t>
      </w:r>
      <w:r>
        <w:rPr>
          <w:b/>
        </w:rPr>
        <w:t xml:space="preserve">with additional needs, compared with all on caseload, by </w:t>
      </w:r>
      <w:r w:rsidR="000A1631">
        <w:rPr>
          <w:b/>
        </w:rPr>
        <w:t>support level</w:t>
      </w:r>
    </w:p>
    <w:tbl>
      <w:tblPr>
        <w:tblStyle w:val="TableGrid"/>
        <w:tblW w:w="0" w:type="auto"/>
        <w:tblLook w:val="04A0" w:firstRow="1" w:lastRow="0" w:firstColumn="1" w:lastColumn="0" w:noHBand="0" w:noVBand="1"/>
      </w:tblPr>
      <w:tblGrid>
        <w:gridCol w:w="3539"/>
        <w:gridCol w:w="2410"/>
        <w:gridCol w:w="2410"/>
      </w:tblGrid>
      <w:tr w:rsidR="00A85C6B" w:rsidRPr="00B456CF" w14:paraId="50F64B76" w14:textId="77777777" w:rsidTr="00F64C41">
        <w:trPr>
          <w:trHeight w:val="300"/>
        </w:trPr>
        <w:tc>
          <w:tcPr>
            <w:tcW w:w="3539" w:type="dxa"/>
            <w:noWrap/>
            <w:hideMark/>
          </w:tcPr>
          <w:p w14:paraId="45150AF3" w14:textId="11F62DE1" w:rsidR="00A85C6B" w:rsidRPr="008B507C" w:rsidRDefault="00810917" w:rsidP="00A85C6B">
            <w:r>
              <w:t>Support level</w:t>
            </w:r>
          </w:p>
        </w:tc>
        <w:tc>
          <w:tcPr>
            <w:tcW w:w="2410" w:type="dxa"/>
            <w:noWrap/>
            <w:hideMark/>
          </w:tcPr>
          <w:p w14:paraId="5351EC42" w14:textId="52F3EBEB" w:rsidR="00A85C6B" w:rsidRPr="008B507C" w:rsidRDefault="00DE521F" w:rsidP="00A85C6B">
            <w:r>
              <w:t>Proportion of CYP with additional needs</w:t>
            </w:r>
            <w:r w:rsidR="000A1631">
              <w:t xml:space="preserve"> on active caseload</w:t>
            </w:r>
          </w:p>
        </w:tc>
        <w:tc>
          <w:tcPr>
            <w:tcW w:w="2410" w:type="dxa"/>
            <w:noWrap/>
            <w:hideMark/>
          </w:tcPr>
          <w:p w14:paraId="08E193F8" w14:textId="3D292708" w:rsidR="00A85C6B" w:rsidRPr="00B456CF" w:rsidRDefault="00DE521F" w:rsidP="00A85C6B">
            <w:r>
              <w:t xml:space="preserve">Total proportion on </w:t>
            </w:r>
            <w:r w:rsidR="00D07855">
              <w:t xml:space="preserve">active </w:t>
            </w:r>
            <w:r>
              <w:t>c</w:t>
            </w:r>
            <w:r w:rsidRPr="008B507C">
              <w:t>aseload</w:t>
            </w:r>
            <w:r w:rsidRPr="00B456CF">
              <w:t xml:space="preserve"> </w:t>
            </w:r>
          </w:p>
        </w:tc>
      </w:tr>
      <w:tr w:rsidR="00A85C6B" w:rsidRPr="00B456CF" w14:paraId="3C066DD7" w14:textId="77777777" w:rsidTr="005A4A1A">
        <w:trPr>
          <w:trHeight w:val="290"/>
        </w:trPr>
        <w:tc>
          <w:tcPr>
            <w:tcW w:w="3539" w:type="dxa"/>
            <w:noWrap/>
            <w:hideMark/>
          </w:tcPr>
          <w:p w14:paraId="13B9DAD1" w14:textId="77777777" w:rsidR="00A85C6B" w:rsidRPr="008B507C" w:rsidRDefault="00A85C6B" w:rsidP="00A85C6B">
            <w:r w:rsidRPr="008B507C">
              <w:t>Education, Health and Care Plan (EHCP)</w:t>
            </w:r>
          </w:p>
        </w:tc>
        <w:tc>
          <w:tcPr>
            <w:tcW w:w="2410" w:type="dxa"/>
            <w:noWrap/>
          </w:tcPr>
          <w:p w14:paraId="5C0C3B72" w14:textId="77777777" w:rsidR="00A85C6B" w:rsidRPr="00B362C4" w:rsidRDefault="00DE521F" w:rsidP="00A85C6B">
            <w:pPr>
              <w:jc w:val="center"/>
            </w:pPr>
            <w:r>
              <w:t>66%</w:t>
            </w:r>
          </w:p>
        </w:tc>
        <w:tc>
          <w:tcPr>
            <w:tcW w:w="2410" w:type="dxa"/>
            <w:noWrap/>
            <w:hideMark/>
          </w:tcPr>
          <w:p w14:paraId="5C51751B" w14:textId="77777777" w:rsidR="00A85C6B" w:rsidRPr="00B456CF" w:rsidRDefault="00DE521F" w:rsidP="00A85C6B">
            <w:pPr>
              <w:jc w:val="center"/>
            </w:pPr>
            <w:r>
              <w:t>49</w:t>
            </w:r>
            <w:r w:rsidR="00A85C6B" w:rsidRPr="00B456CF">
              <w:t>%</w:t>
            </w:r>
          </w:p>
        </w:tc>
      </w:tr>
      <w:tr w:rsidR="00A85C6B" w:rsidRPr="00B456CF" w14:paraId="68EBA9A5" w14:textId="77777777" w:rsidTr="005A4A1A">
        <w:trPr>
          <w:trHeight w:val="290"/>
        </w:trPr>
        <w:tc>
          <w:tcPr>
            <w:tcW w:w="3539" w:type="dxa"/>
            <w:noWrap/>
            <w:hideMark/>
          </w:tcPr>
          <w:p w14:paraId="5DB0B38F" w14:textId="77777777" w:rsidR="00A85C6B" w:rsidRPr="008B507C" w:rsidRDefault="00A85C6B" w:rsidP="00A85C6B">
            <w:r w:rsidRPr="008B507C">
              <w:t>Special Education Need (SEN) Support</w:t>
            </w:r>
          </w:p>
        </w:tc>
        <w:tc>
          <w:tcPr>
            <w:tcW w:w="2410" w:type="dxa"/>
            <w:noWrap/>
          </w:tcPr>
          <w:p w14:paraId="5EE568B6" w14:textId="77777777" w:rsidR="00A85C6B" w:rsidRPr="00B362C4" w:rsidRDefault="00DE521F" w:rsidP="00A85C6B">
            <w:pPr>
              <w:jc w:val="center"/>
            </w:pPr>
            <w:r>
              <w:t>27%</w:t>
            </w:r>
          </w:p>
        </w:tc>
        <w:tc>
          <w:tcPr>
            <w:tcW w:w="2410" w:type="dxa"/>
            <w:noWrap/>
            <w:hideMark/>
          </w:tcPr>
          <w:p w14:paraId="21EF004F" w14:textId="77777777" w:rsidR="00A85C6B" w:rsidRPr="00B456CF" w:rsidRDefault="00A85C6B" w:rsidP="00A85C6B">
            <w:pPr>
              <w:jc w:val="center"/>
            </w:pPr>
            <w:r w:rsidRPr="00B456CF">
              <w:t>4</w:t>
            </w:r>
            <w:r w:rsidR="00DE521F">
              <w:t>4</w:t>
            </w:r>
            <w:r w:rsidRPr="00B456CF">
              <w:t>%</w:t>
            </w:r>
          </w:p>
        </w:tc>
      </w:tr>
      <w:tr w:rsidR="00A85C6B" w:rsidRPr="00B456CF" w14:paraId="01398F6B" w14:textId="77777777" w:rsidTr="005A4A1A">
        <w:trPr>
          <w:trHeight w:val="290"/>
        </w:trPr>
        <w:tc>
          <w:tcPr>
            <w:tcW w:w="3539" w:type="dxa"/>
            <w:noWrap/>
            <w:hideMark/>
          </w:tcPr>
          <w:p w14:paraId="33D7FBB4" w14:textId="77777777" w:rsidR="00A85C6B" w:rsidRPr="008B507C" w:rsidRDefault="00A85C6B" w:rsidP="00A85C6B">
            <w:r w:rsidRPr="008B507C">
              <w:t>Not yet assessed</w:t>
            </w:r>
          </w:p>
        </w:tc>
        <w:tc>
          <w:tcPr>
            <w:tcW w:w="2410" w:type="dxa"/>
            <w:noWrap/>
          </w:tcPr>
          <w:p w14:paraId="7FDFFD48" w14:textId="77777777" w:rsidR="00A85C6B" w:rsidRPr="00B362C4" w:rsidRDefault="00DE521F" w:rsidP="00A85C6B">
            <w:pPr>
              <w:jc w:val="center"/>
            </w:pPr>
            <w:r>
              <w:t>3%</w:t>
            </w:r>
          </w:p>
        </w:tc>
        <w:tc>
          <w:tcPr>
            <w:tcW w:w="2410" w:type="dxa"/>
            <w:noWrap/>
            <w:hideMark/>
          </w:tcPr>
          <w:p w14:paraId="4F04ABA4" w14:textId="77777777" w:rsidR="00A85C6B" w:rsidRPr="00B456CF" w:rsidRDefault="00DE521F" w:rsidP="00A85C6B">
            <w:pPr>
              <w:jc w:val="center"/>
            </w:pPr>
            <w:r>
              <w:t>4</w:t>
            </w:r>
            <w:r w:rsidR="00A85C6B" w:rsidRPr="00B456CF">
              <w:t>%</w:t>
            </w:r>
          </w:p>
        </w:tc>
      </w:tr>
      <w:tr w:rsidR="00A85C6B" w:rsidRPr="00B456CF" w14:paraId="1D89E1ED" w14:textId="77777777" w:rsidTr="005A4A1A">
        <w:trPr>
          <w:trHeight w:val="290"/>
        </w:trPr>
        <w:tc>
          <w:tcPr>
            <w:tcW w:w="3539" w:type="dxa"/>
            <w:noWrap/>
            <w:hideMark/>
          </w:tcPr>
          <w:p w14:paraId="183FB15F" w14:textId="77777777" w:rsidR="00A85C6B" w:rsidRPr="008B507C" w:rsidRDefault="00A85C6B" w:rsidP="00A85C6B">
            <w:r w:rsidRPr="008B507C">
              <w:t>Other</w:t>
            </w:r>
          </w:p>
        </w:tc>
        <w:tc>
          <w:tcPr>
            <w:tcW w:w="2410" w:type="dxa"/>
            <w:noWrap/>
          </w:tcPr>
          <w:p w14:paraId="5E845783" w14:textId="77777777" w:rsidR="00A85C6B" w:rsidRDefault="00DE521F" w:rsidP="00A85C6B">
            <w:pPr>
              <w:jc w:val="center"/>
            </w:pPr>
            <w:r>
              <w:t>4%</w:t>
            </w:r>
          </w:p>
        </w:tc>
        <w:tc>
          <w:tcPr>
            <w:tcW w:w="2410" w:type="dxa"/>
            <w:noWrap/>
            <w:hideMark/>
          </w:tcPr>
          <w:p w14:paraId="161E254E" w14:textId="77777777" w:rsidR="00A85C6B" w:rsidRPr="00B456CF" w:rsidRDefault="00DE521F" w:rsidP="00A85C6B">
            <w:pPr>
              <w:jc w:val="center"/>
            </w:pPr>
            <w:r>
              <w:t>3</w:t>
            </w:r>
            <w:r w:rsidR="00A85C6B" w:rsidRPr="00B456CF">
              <w:t>%</w:t>
            </w:r>
          </w:p>
        </w:tc>
      </w:tr>
      <w:tr w:rsidR="00A85C6B" w:rsidRPr="00B456CF" w14:paraId="3C6DF616" w14:textId="77777777" w:rsidTr="005A4A1A">
        <w:trPr>
          <w:trHeight w:val="290"/>
        </w:trPr>
        <w:tc>
          <w:tcPr>
            <w:tcW w:w="3539" w:type="dxa"/>
            <w:noWrap/>
            <w:hideMark/>
          </w:tcPr>
          <w:p w14:paraId="4DAD0A9A" w14:textId="77777777" w:rsidR="00A85C6B" w:rsidRPr="008B507C" w:rsidRDefault="00A85C6B" w:rsidP="00A85C6B">
            <w:r>
              <w:t>Total for which group data is available</w:t>
            </w:r>
          </w:p>
        </w:tc>
        <w:tc>
          <w:tcPr>
            <w:tcW w:w="2410" w:type="dxa"/>
            <w:noWrap/>
          </w:tcPr>
          <w:p w14:paraId="027C970E" w14:textId="77777777" w:rsidR="00A85C6B" w:rsidRPr="008B507C" w:rsidRDefault="00DE521F" w:rsidP="00A85C6B">
            <w:pPr>
              <w:jc w:val="center"/>
            </w:pPr>
            <w:r>
              <w:t>100%</w:t>
            </w:r>
          </w:p>
        </w:tc>
        <w:tc>
          <w:tcPr>
            <w:tcW w:w="2410" w:type="dxa"/>
            <w:noWrap/>
            <w:hideMark/>
          </w:tcPr>
          <w:p w14:paraId="00BBB727" w14:textId="77777777" w:rsidR="00A85C6B" w:rsidRPr="00B456CF" w:rsidRDefault="00DE521F" w:rsidP="00A85C6B">
            <w:pPr>
              <w:jc w:val="center"/>
            </w:pPr>
            <w:r>
              <w:t>89</w:t>
            </w:r>
            <w:r w:rsidR="00A85C6B" w:rsidRPr="00B456CF">
              <w:t>%</w:t>
            </w:r>
          </w:p>
        </w:tc>
      </w:tr>
    </w:tbl>
    <w:p w14:paraId="61868D31" w14:textId="77777777" w:rsidR="00B24313" w:rsidRDefault="00B24313" w:rsidP="00B24313"/>
    <w:p w14:paraId="01E36A6B" w14:textId="5E4C1408" w:rsidR="00E92B08" w:rsidRDefault="00E92B08" w:rsidP="001649C1">
      <w:pPr>
        <w:pStyle w:val="Heading3"/>
      </w:pPr>
      <w:r>
        <w:t xml:space="preserve">Criteria for </w:t>
      </w:r>
      <w:r w:rsidR="001649C1">
        <w:t>support</w:t>
      </w:r>
      <w:r w:rsidR="009B6487">
        <w:t xml:space="preserve"> </w:t>
      </w:r>
      <w:r w:rsidR="0056417D">
        <w:t>levels</w:t>
      </w:r>
      <w:r w:rsidR="009B6487">
        <w:t xml:space="preserve"> and eligibility for EHCP assessment</w:t>
      </w:r>
    </w:p>
    <w:p w14:paraId="0C7647A4" w14:textId="10BBE98F" w:rsidR="00E92B08" w:rsidRDefault="00791B68" w:rsidP="00791B68">
      <w:r>
        <w:t xml:space="preserve">When asked about the criteria </w:t>
      </w:r>
      <w:r w:rsidRPr="00791B68">
        <w:t>the VI service use</w:t>
      </w:r>
      <w:r>
        <w:t>s</w:t>
      </w:r>
      <w:r w:rsidRPr="00791B68">
        <w:t xml:space="preserve"> for allocating levels of support</w:t>
      </w:r>
      <w:r>
        <w:t xml:space="preserve">, 95% responded that the </w:t>
      </w:r>
      <w:proofErr w:type="spellStart"/>
      <w:r>
        <w:t>NatSIP</w:t>
      </w:r>
      <w:proofErr w:type="spellEnd"/>
      <w:r>
        <w:t xml:space="preserve"> </w:t>
      </w:r>
      <w:r w:rsidR="00B959CA">
        <w:t xml:space="preserve">eligibility </w:t>
      </w:r>
      <w:r>
        <w:t xml:space="preserve">framework was used </w:t>
      </w:r>
      <w:r w:rsidR="00505A5F">
        <w:t>and</w:t>
      </w:r>
      <w:r>
        <w:t xml:space="preserve"> 23% said that </w:t>
      </w:r>
      <w:r w:rsidR="00505A5F">
        <w:t xml:space="preserve">criteria were </w:t>
      </w:r>
      <w:r>
        <w:t>locally developed (out of 13</w:t>
      </w:r>
      <w:r w:rsidR="00DD116F">
        <w:t>2</w:t>
      </w:r>
      <w:r>
        <w:t xml:space="preserve"> authorities responding). There is clearly some overlap and many authorities provided additional information that a modified version of </w:t>
      </w:r>
      <w:r w:rsidR="00B959CA">
        <w:t xml:space="preserve">the </w:t>
      </w:r>
      <w:proofErr w:type="spellStart"/>
      <w:r>
        <w:t>NatSIP</w:t>
      </w:r>
      <w:proofErr w:type="spellEnd"/>
      <w:r>
        <w:t xml:space="preserve"> </w:t>
      </w:r>
      <w:r w:rsidR="00B959CA">
        <w:t xml:space="preserve">framework </w:t>
      </w:r>
      <w:r>
        <w:t>was used.</w:t>
      </w:r>
      <w:r w:rsidR="00C32CAB" w:rsidRPr="00C32CAB">
        <w:t xml:space="preserve"> </w:t>
      </w:r>
      <w:r w:rsidR="00C32CAB" w:rsidRPr="00FA73BB">
        <w:t>This represents a clear difference in approach used by some authorities</w:t>
      </w:r>
      <w:r w:rsidR="00D80FD5" w:rsidRPr="00FA73BB">
        <w:t xml:space="preserve"> with no strong evidence of standardisation across the country</w:t>
      </w:r>
      <w:r w:rsidR="00A14FEB">
        <w:t xml:space="preserve"> where local modifications are in use</w:t>
      </w:r>
      <w:r w:rsidR="00C32CAB" w:rsidRPr="00FA73BB">
        <w:t>.</w:t>
      </w:r>
    </w:p>
    <w:p w14:paraId="30A71DF9" w14:textId="77777777" w:rsidR="00791B68" w:rsidRDefault="00791B68" w:rsidP="00791B68"/>
    <w:p w14:paraId="16359731" w14:textId="55C5233B" w:rsidR="00D80FD5" w:rsidRDefault="00791B68" w:rsidP="00791B68">
      <w:r>
        <w:t>We also asked whether</w:t>
      </w:r>
      <w:r w:rsidRPr="00791B68">
        <w:t xml:space="preserve"> CYP with </w:t>
      </w:r>
      <w:r w:rsidR="000649C8">
        <w:t>vision</w:t>
      </w:r>
      <w:r>
        <w:t xml:space="preserve"> impairment</w:t>
      </w:r>
      <w:r w:rsidRPr="00791B68">
        <w:t xml:space="preserve"> </w:t>
      </w:r>
      <w:r w:rsidR="009F7137">
        <w:t>are</w:t>
      </w:r>
      <w:r>
        <w:t xml:space="preserve"> required</w:t>
      </w:r>
      <w:r w:rsidRPr="00791B68">
        <w:t xml:space="preserve"> </w:t>
      </w:r>
      <w:r w:rsidR="00A13B45">
        <w:t xml:space="preserve">to </w:t>
      </w:r>
      <w:r w:rsidRPr="00791B68">
        <w:t xml:space="preserve">meet any </w:t>
      </w:r>
      <w:r>
        <w:t>specific</w:t>
      </w:r>
      <w:r w:rsidRPr="00791B68">
        <w:t xml:space="preserve"> </w:t>
      </w:r>
      <w:r w:rsidR="00082A67">
        <w:t xml:space="preserve">eligibility </w:t>
      </w:r>
      <w:r w:rsidRPr="00791B68">
        <w:t>criteria before they will be considered for assessment for an EHCP</w:t>
      </w:r>
      <w:r w:rsidR="00505A5F">
        <w:t xml:space="preserve">. Authorities could select </w:t>
      </w:r>
      <w:r w:rsidR="004A6CA3">
        <w:t xml:space="preserve">multiple options </w:t>
      </w:r>
      <w:r w:rsidR="00505A5F">
        <w:t xml:space="preserve">and </w:t>
      </w:r>
      <w:r w:rsidR="0003372B">
        <w:t>note</w:t>
      </w:r>
      <w:r w:rsidR="00505A5F">
        <w:t xml:space="preserve"> other criteria not listed</w:t>
      </w:r>
      <w:r>
        <w:t xml:space="preserve">. </w:t>
      </w:r>
      <w:r w:rsidR="004A6CA3">
        <w:t>Of the 11</w:t>
      </w:r>
      <w:r w:rsidR="00DD116F">
        <w:t>3</w:t>
      </w:r>
      <w:r w:rsidR="004A6CA3">
        <w:t xml:space="preserve"> authorities responding, 46% </w:t>
      </w:r>
      <w:r w:rsidR="0003372B">
        <w:t>said</w:t>
      </w:r>
      <w:r w:rsidR="004A6CA3">
        <w:t xml:space="preserve"> that a specific level or severity of </w:t>
      </w:r>
      <w:r w:rsidR="000649C8">
        <w:t>vision</w:t>
      </w:r>
      <w:r w:rsidR="004A6CA3">
        <w:t xml:space="preserve"> impairment </w:t>
      </w:r>
      <w:r w:rsidR="00082A67">
        <w:t>needs to be met to be eligible for</w:t>
      </w:r>
      <w:r w:rsidR="00DD7F05">
        <w:t xml:space="preserve"> an</w:t>
      </w:r>
      <w:r w:rsidR="00EE7D2B">
        <w:t xml:space="preserve"> EHCP </w:t>
      </w:r>
      <w:r w:rsidR="006F0A04">
        <w:t>assessment and</w:t>
      </w:r>
      <w:r w:rsidR="004A6CA3">
        <w:t xml:space="preserve"> 29% responded that the CYP</w:t>
      </w:r>
      <w:r w:rsidR="004A6CA3" w:rsidRPr="004A6CA3">
        <w:t xml:space="preserve"> </w:t>
      </w:r>
      <w:r w:rsidR="004A6CA3" w:rsidRPr="004A6CA3">
        <w:lastRenderedPageBreak/>
        <w:t>must be failing to make the expected level of progress</w:t>
      </w:r>
      <w:r w:rsidR="004A6CA3">
        <w:t xml:space="preserve">. A further 7% said they are expected to attend a special school and 6% said they must have an additional SEND. </w:t>
      </w:r>
    </w:p>
    <w:p w14:paraId="20F5F0CE" w14:textId="77777777" w:rsidR="00D80FD5" w:rsidRDefault="00D80FD5" w:rsidP="00791B68">
      <w:pPr>
        <w:rPr>
          <w:color w:val="FF0000"/>
        </w:rPr>
      </w:pPr>
    </w:p>
    <w:p w14:paraId="1623E14C" w14:textId="67A4988E" w:rsidR="00D80FD5" w:rsidRPr="00FA73BB" w:rsidRDefault="00C32CAB" w:rsidP="00791B68">
      <w:r w:rsidRPr="00FA73BB">
        <w:t xml:space="preserve">This again represents a differing approach by some authorities which may limit </w:t>
      </w:r>
      <w:r w:rsidR="005C0632">
        <w:t xml:space="preserve">the eligibility of </w:t>
      </w:r>
      <w:r w:rsidR="00207C6C">
        <w:t>some</w:t>
      </w:r>
      <w:r w:rsidRPr="00FA73BB">
        <w:t xml:space="preserve"> children with a </w:t>
      </w:r>
      <w:r w:rsidR="000649C8">
        <w:t>vision</w:t>
      </w:r>
      <w:r w:rsidRPr="00FA73BB">
        <w:t xml:space="preserve"> impairment </w:t>
      </w:r>
      <w:r w:rsidR="005C0632">
        <w:t>to be assessed</w:t>
      </w:r>
      <w:r w:rsidRPr="00FA73BB">
        <w:t xml:space="preserve"> </w:t>
      </w:r>
      <w:r w:rsidR="00EE7D2B">
        <w:t xml:space="preserve">for </w:t>
      </w:r>
      <w:r w:rsidR="005C0632">
        <w:t xml:space="preserve">an </w:t>
      </w:r>
      <w:r w:rsidR="00EE7D2B">
        <w:t>EHCP</w:t>
      </w:r>
      <w:r w:rsidRPr="00FA73BB">
        <w:t>.</w:t>
      </w:r>
      <w:r w:rsidR="00D80FD5" w:rsidRPr="00FA73BB">
        <w:t xml:space="preserve"> </w:t>
      </w:r>
      <w:r w:rsidR="0020424F">
        <w:t>C</w:t>
      </w:r>
      <w:r w:rsidR="00D80FD5" w:rsidRPr="00FA73BB">
        <w:t>riteria are not applied equally across the country leaving children in some authorities without support</w:t>
      </w:r>
      <w:r w:rsidR="006D17AF">
        <w:t xml:space="preserve"> </w:t>
      </w:r>
      <w:r w:rsidR="00082A67" w:rsidRPr="00FA73BB">
        <w:t>while others in a similar</w:t>
      </w:r>
      <w:r w:rsidR="00D80FD5" w:rsidRPr="00FA73BB">
        <w:t xml:space="preserve"> </w:t>
      </w:r>
      <w:r w:rsidR="00082A67" w:rsidRPr="00FA73BB">
        <w:t xml:space="preserve">situation </w:t>
      </w:r>
      <w:r w:rsidR="00D80FD5" w:rsidRPr="00FA73BB">
        <w:t>elsewhere</w:t>
      </w:r>
      <w:r w:rsidR="00082A67" w:rsidRPr="00FA73BB">
        <w:t xml:space="preserve"> would receive </w:t>
      </w:r>
      <w:r w:rsidR="006D17AF">
        <w:t xml:space="preserve">this </w:t>
      </w:r>
      <w:r w:rsidR="00082A67" w:rsidRPr="00FA73BB">
        <w:t>support</w:t>
      </w:r>
      <w:r w:rsidR="00D80FD5" w:rsidRPr="00FA73BB">
        <w:t>.</w:t>
      </w:r>
    </w:p>
    <w:p w14:paraId="46C9377A" w14:textId="54730D8D" w:rsidR="00C32CAB" w:rsidRDefault="00C32CAB" w:rsidP="00791B68"/>
    <w:p w14:paraId="36394AA1" w14:textId="72E6D904" w:rsidR="00405E26" w:rsidRDefault="00405E26" w:rsidP="00405E26">
      <w:r>
        <w:t xml:space="preserve">However, a large proportion of authorities used the ‘other’ option to indicate a different arrangement. Almost a third said </w:t>
      </w:r>
      <w:r w:rsidR="00CE0E24">
        <w:t>eligibility for EHC</w:t>
      </w:r>
      <w:r w:rsidR="00A30206">
        <w:t>P</w:t>
      </w:r>
      <w:r w:rsidR="00CE0E24">
        <w:t xml:space="preserve"> assessment</w:t>
      </w:r>
      <w:r>
        <w:t xml:space="preserve"> did not require specific criteria and </w:t>
      </w:r>
      <w:r w:rsidR="00F15962">
        <w:t xml:space="preserve">the authority </w:t>
      </w:r>
      <w:r w:rsidR="000623A5">
        <w:t>considered</w:t>
      </w:r>
      <w:r>
        <w:t xml:space="preserve"> CYP on individual circumstances when considering them for assessment for an EHCP. </w:t>
      </w:r>
      <w:r w:rsidR="005B3877">
        <w:t xml:space="preserve">Local authorities providing more detail </w:t>
      </w:r>
      <w:r w:rsidR="00720644">
        <w:t>said they</w:t>
      </w:r>
      <w:r w:rsidR="005B3877">
        <w:t xml:space="preserve"> assessed individual circumstances in a variety of ways </w:t>
      </w:r>
      <w:r w:rsidR="0084067B">
        <w:t xml:space="preserve">which </w:t>
      </w:r>
      <w:r w:rsidR="005B3877">
        <w:t>includ</w:t>
      </w:r>
      <w:r w:rsidR="0084067B">
        <w:t>ed</w:t>
      </w:r>
      <w:r w:rsidR="005B3877">
        <w:t xml:space="preserve"> </w:t>
      </w:r>
      <w:r>
        <w:t xml:space="preserve">needs-based assessment, the level of support a CYP requires and their education setting. </w:t>
      </w:r>
    </w:p>
    <w:p w14:paraId="70ED58C0" w14:textId="77777777" w:rsidR="00405E26" w:rsidRDefault="00405E26" w:rsidP="00405E26"/>
    <w:p w14:paraId="3398E0BA" w14:textId="30715C47" w:rsidR="00A02ADB" w:rsidRDefault="00A02ADB" w:rsidP="00584DDF">
      <w:pPr>
        <w:pStyle w:val="Heading3"/>
      </w:pPr>
      <w:r>
        <w:t>Reduction in support</w:t>
      </w:r>
    </w:p>
    <w:p w14:paraId="774C1104" w14:textId="3060C6A0" w:rsidR="00A82FE5" w:rsidRDefault="00A82FE5" w:rsidP="00822C3F">
      <w:r>
        <w:t xml:space="preserve">Reduction in support can be part of appropriate case management and is not always a concern, as highlighted by </w:t>
      </w:r>
      <w:proofErr w:type="gramStart"/>
      <w:r>
        <w:t>a number of</w:t>
      </w:r>
      <w:proofErr w:type="gramEnd"/>
      <w:r>
        <w:t xml:space="preserve"> authorities</w:t>
      </w:r>
      <w:r w:rsidR="004C220B">
        <w:t xml:space="preserve"> responding to the FOI</w:t>
      </w:r>
      <w:r w:rsidR="00B318EF">
        <w:t xml:space="preserve"> request</w:t>
      </w:r>
      <w:r>
        <w:t>.</w:t>
      </w:r>
    </w:p>
    <w:p w14:paraId="3C321449" w14:textId="77777777" w:rsidR="00020966" w:rsidRDefault="00020966" w:rsidP="00020966"/>
    <w:p w14:paraId="698AAF1E" w14:textId="156F51F1" w:rsidR="00020966" w:rsidRDefault="001B315B" w:rsidP="00020966">
      <w:r>
        <w:t xml:space="preserve">We asked authorities </w:t>
      </w:r>
      <w:r w:rsidR="000577F5">
        <w:t xml:space="preserve">whether support for any of their CYP with vision impairment was </w:t>
      </w:r>
      <w:r>
        <w:t xml:space="preserve">reduced </w:t>
      </w:r>
      <w:r w:rsidR="00BD5E00">
        <w:t>for a set list of reasons</w:t>
      </w:r>
      <w:r w:rsidR="00E33FC9">
        <w:t xml:space="preserve"> and</w:t>
      </w:r>
      <w:r w:rsidR="00BD5E00">
        <w:t xml:space="preserve"> </w:t>
      </w:r>
      <w:r w:rsidR="00552F44">
        <w:t xml:space="preserve">119 authorities </w:t>
      </w:r>
      <w:r w:rsidR="00923D50">
        <w:t>responded</w:t>
      </w:r>
      <w:r w:rsidR="00552F44">
        <w:t xml:space="preserve"> to the question</w:t>
      </w:r>
      <w:r w:rsidR="00923D50">
        <w:t xml:space="preserve">. </w:t>
      </w:r>
      <w:r w:rsidR="00F83350">
        <w:t>Some had not reduced support for any CYP</w:t>
      </w:r>
      <w:r w:rsidR="000E6B55">
        <w:t xml:space="preserve"> and some </w:t>
      </w:r>
      <w:r w:rsidR="001439E9">
        <w:t>selected multiple reasons for reduction in support</w:t>
      </w:r>
      <w:r w:rsidR="00F83350">
        <w:t xml:space="preserve">. </w:t>
      </w:r>
      <w:r w:rsidR="00923D50">
        <w:t>A</w:t>
      </w:r>
      <w:r w:rsidR="00020966">
        <w:t xml:space="preserve"> r</w:t>
      </w:r>
      <w:r w:rsidR="00020966" w:rsidRPr="00B13012">
        <w:t xml:space="preserve">eview of SEN support or EHCP </w:t>
      </w:r>
      <w:r w:rsidR="00020966">
        <w:t xml:space="preserve">was reported as a reason for reduction in support </w:t>
      </w:r>
      <w:r w:rsidR="00C07EBD">
        <w:t>by</w:t>
      </w:r>
      <w:r w:rsidR="00020966">
        <w:t xml:space="preserve"> 20% of authorities</w:t>
      </w:r>
      <w:r w:rsidR="00F83350">
        <w:t xml:space="preserve"> responding</w:t>
      </w:r>
      <w:r w:rsidR="00020966">
        <w:t xml:space="preserve">. </w:t>
      </w:r>
      <w:r w:rsidR="00020966" w:rsidRPr="00B13012">
        <w:t>Positive change</w:t>
      </w:r>
      <w:r w:rsidR="00020966">
        <w:t>s</w:t>
      </w:r>
      <w:r w:rsidR="00020966" w:rsidRPr="00B13012">
        <w:t xml:space="preserve"> in </w:t>
      </w:r>
      <w:r w:rsidR="00020966">
        <w:t xml:space="preserve">the CYP’s </w:t>
      </w:r>
      <w:r w:rsidR="00020966" w:rsidRPr="00B13012">
        <w:t xml:space="preserve">management of </w:t>
      </w:r>
      <w:r w:rsidR="00020966">
        <w:t xml:space="preserve">their own </w:t>
      </w:r>
      <w:r w:rsidR="00020966" w:rsidRPr="00B13012">
        <w:t xml:space="preserve">vision impairment and improved independence </w:t>
      </w:r>
      <w:r w:rsidR="00020966">
        <w:t xml:space="preserve">was reported as a reason for reduction in support </w:t>
      </w:r>
      <w:r w:rsidR="007B3723">
        <w:t>by</w:t>
      </w:r>
      <w:r w:rsidR="00020966">
        <w:t xml:space="preserve"> 43%. </w:t>
      </w:r>
    </w:p>
    <w:p w14:paraId="086D116E" w14:textId="77777777" w:rsidR="00020966" w:rsidRDefault="00020966" w:rsidP="00020966"/>
    <w:p w14:paraId="5B426248" w14:textId="056513EE" w:rsidR="00020966" w:rsidRDefault="00020966" w:rsidP="00020966">
      <w:r>
        <w:t xml:space="preserve">However, for </w:t>
      </w:r>
      <w:r w:rsidR="0085301E">
        <w:t>23% (</w:t>
      </w:r>
      <w:r>
        <w:t>28 local authorities</w:t>
      </w:r>
      <w:r w:rsidR="0085301E">
        <w:t>)</w:t>
      </w:r>
      <w:r>
        <w:t>, service restructure</w:t>
      </w:r>
      <w:r w:rsidR="00133A6F">
        <w:t>/change</w:t>
      </w:r>
      <w:r>
        <w:t xml:space="preserve"> or capacity issues within the service</w:t>
      </w:r>
      <w:r w:rsidR="00382376">
        <w:t xml:space="preserve"> was </w:t>
      </w:r>
      <w:r w:rsidR="00924B1D">
        <w:t xml:space="preserve">noted </w:t>
      </w:r>
      <w:r w:rsidR="00B34607">
        <w:t xml:space="preserve">as </w:t>
      </w:r>
      <w:r w:rsidR="009036E9">
        <w:t>a</w:t>
      </w:r>
      <w:r>
        <w:t xml:space="preserve"> reason for reduction in support</w:t>
      </w:r>
      <w:r w:rsidR="002F2653">
        <w:t xml:space="preserve"> for some CYP</w:t>
      </w:r>
      <w:r>
        <w:t xml:space="preserve">. </w:t>
      </w:r>
      <w:r w:rsidR="00A5208E">
        <w:t>A review of comments from authorities concerned suggests</w:t>
      </w:r>
      <w:r>
        <w:t xml:space="preserve"> this was most </w:t>
      </w:r>
      <w:r w:rsidR="00A5208E">
        <w:t>frequently</w:t>
      </w:r>
      <w:r>
        <w:t xml:space="preserve"> due to staffing levels and staff vacancies. </w:t>
      </w:r>
      <w:r w:rsidR="00A5208E">
        <w:t>It is very concerning</w:t>
      </w:r>
      <w:r>
        <w:t xml:space="preserve"> that a quarter of authorities </w:t>
      </w:r>
      <w:r w:rsidR="00BC6931">
        <w:t xml:space="preserve">reduced support </w:t>
      </w:r>
      <w:r w:rsidR="00E16896">
        <w:t>due to service pressures or changes</w:t>
      </w:r>
      <w:r>
        <w:t>.</w:t>
      </w:r>
    </w:p>
    <w:p w14:paraId="76ED62F2" w14:textId="77777777" w:rsidR="00A82FE5" w:rsidRDefault="00A82FE5" w:rsidP="00822C3F"/>
    <w:p w14:paraId="7447B512" w14:textId="52564392" w:rsidR="00A02ADB" w:rsidRDefault="00A42FB5" w:rsidP="00822C3F">
      <w:r>
        <w:lastRenderedPageBreak/>
        <w:t xml:space="preserve">We also asked authorities to provide the number of CYP whose support was reduced in the past 12 months. </w:t>
      </w:r>
      <w:r w:rsidR="00AB262C">
        <w:t>A total of over</w:t>
      </w:r>
      <w:r w:rsidR="00A02ADB">
        <w:t xml:space="preserve"> </w:t>
      </w:r>
      <w:r w:rsidR="006271F5">
        <w:t>1,300</w:t>
      </w:r>
      <w:r w:rsidR="00A02ADB">
        <w:t xml:space="preserve"> </w:t>
      </w:r>
      <w:r w:rsidR="00B21E14">
        <w:t xml:space="preserve">with reduced support were recorded by authorities, however many </w:t>
      </w:r>
      <w:r w:rsidR="00326458">
        <w:t>could not provide or wit</w:t>
      </w:r>
      <w:r w:rsidR="003D59F4">
        <w:t>h</w:t>
      </w:r>
      <w:r w:rsidR="00326458">
        <w:t>held</w:t>
      </w:r>
      <w:r w:rsidR="00B21E14">
        <w:t xml:space="preserve"> </w:t>
      </w:r>
      <w:r w:rsidR="00E47D25">
        <w:t>figures</w:t>
      </w:r>
      <w:r w:rsidR="003A02A6">
        <w:t xml:space="preserve"> even though </w:t>
      </w:r>
      <w:r w:rsidR="00FA5E51">
        <w:t xml:space="preserve">the authority </w:t>
      </w:r>
      <w:r w:rsidR="00EC534E">
        <w:t>answered that</w:t>
      </w:r>
      <w:r w:rsidR="003A02A6">
        <w:t xml:space="preserve"> </w:t>
      </w:r>
      <w:r w:rsidR="000C335B">
        <w:t>some CYP had their support</w:t>
      </w:r>
      <w:r w:rsidR="003A02A6">
        <w:t xml:space="preserve"> reduced</w:t>
      </w:r>
      <w:r w:rsidR="00A02ADB">
        <w:t>.</w:t>
      </w:r>
      <w:r w:rsidR="006271F5">
        <w:t xml:space="preserve"> </w:t>
      </w:r>
      <w:r w:rsidR="003A02A6">
        <w:t>Hence, this</w:t>
      </w:r>
      <w:r w:rsidR="006271F5">
        <w:t xml:space="preserve"> figure is likely to be an under estimate.</w:t>
      </w:r>
      <w:r w:rsidR="00822C3F">
        <w:t xml:space="preserve"> </w:t>
      </w:r>
      <w:r w:rsidR="009F6456">
        <w:t>Half of the</w:t>
      </w:r>
      <w:r w:rsidR="00B309B3">
        <w:t xml:space="preserve"> </w:t>
      </w:r>
      <w:r w:rsidR="00FB5BC0">
        <w:t xml:space="preserve">CYP </w:t>
      </w:r>
      <w:r w:rsidR="006E5F6D">
        <w:t xml:space="preserve">recorded </w:t>
      </w:r>
      <w:r w:rsidR="003C04EF">
        <w:t xml:space="preserve">as having </w:t>
      </w:r>
      <w:r w:rsidR="008344A2">
        <w:t xml:space="preserve">their support reduced </w:t>
      </w:r>
      <w:r w:rsidR="003C04EF">
        <w:t>(</w:t>
      </w:r>
      <w:r w:rsidR="0091427D">
        <w:t>650</w:t>
      </w:r>
      <w:r w:rsidR="00EC534E">
        <w:t xml:space="preserve"> CYP</w:t>
      </w:r>
      <w:r w:rsidR="003C04EF">
        <w:t>)</w:t>
      </w:r>
      <w:r w:rsidR="0091427D">
        <w:t xml:space="preserve"> </w:t>
      </w:r>
      <w:r w:rsidR="008344A2">
        <w:t xml:space="preserve">had </w:t>
      </w:r>
      <w:r w:rsidR="0036149C">
        <w:t>this reduction</w:t>
      </w:r>
      <w:r w:rsidR="008344A2">
        <w:t xml:space="preserve"> </w:t>
      </w:r>
      <w:r w:rsidR="0091427D">
        <w:t xml:space="preserve">due to service restructure/change or capacity issues within the service. </w:t>
      </w:r>
    </w:p>
    <w:p w14:paraId="04BED69E" w14:textId="77777777" w:rsidR="00A02ADB" w:rsidRDefault="00A02ADB" w:rsidP="00A02ADB"/>
    <w:p w14:paraId="283C0BEB" w14:textId="77777777" w:rsidR="00E92B08" w:rsidRDefault="00155055" w:rsidP="00E92B08">
      <w:pPr>
        <w:pStyle w:val="Heading3"/>
      </w:pPr>
      <w:r>
        <w:t>Education s</w:t>
      </w:r>
      <w:r w:rsidR="00E92B08">
        <w:t>ettings</w:t>
      </w:r>
    </w:p>
    <w:p w14:paraId="22A209C5" w14:textId="77777777" w:rsidR="00E92B08" w:rsidRDefault="00155055" w:rsidP="00A02ADB">
      <w:r>
        <w:t xml:space="preserve">Local authorities were asked to provide the number of CYP </w:t>
      </w:r>
      <w:r w:rsidRPr="00155055">
        <w:t xml:space="preserve">educated in </w:t>
      </w:r>
      <w:r>
        <w:t>a range of different</w:t>
      </w:r>
      <w:r w:rsidRPr="00155055">
        <w:t xml:space="preserve"> settings</w:t>
      </w:r>
      <w:r>
        <w:t>. Setting information was provided for about 90% of the total caseload in authorities responding to the survey. The proportion by setting type is detailed in the table below.</w:t>
      </w:r>
    </w:p>
    <w:p w14:paraId="3D5D8469" w14:textId="77777777" w:rsidR="00155055" w:rsidRDefault="00155055" w:rsidP="00A02ADB"/>
    <w:p w14:paraId="47AD92AD" w14:textId="77777777" w:rsidR="00155055" w:rsidRPr="00030029" w:rsidRDefault="00155055" w:rsidP="00A02ADB">
      <w:pPr>
        <w:rPr>
          <w:b/>
        </w:rPr>
      </w:pPr>
      <w:r w:rsidRPr="00030029">
        <w:rPr>
          <w:b/>
        </w:rPr>
        <w:t>Table: Proportion of CYP on the active caseload by setting type</w:t>
      </w:r>
    </w:p>
    <w:tbl>
      <w:tblPr>
        <w:tblStyle w:val="TableGrid"/>
        <w:tblW w:w="0" w:type="auto"/>
        <w:tblLook w:val="04A0" w:firstRow="1" w:lastRow="0" w:firstColumn="1" w:lastColumn="0" w:noHBand="0" w:noVBand="1"/>
      </w:tblPr>
      <w:tblGrid>
        <w:gridCol w:w="4957"/>
        <w:gridCol w:w="2835"/>
      </w:tblGrid>
      <w:tr w:rsidR="00155055" w:rsidRPr="00155055" w14:paraId="59A6250B" w14:textId="77777777" w:rsidTr="00155055">
        <w:trPr>
          <w:trHeight w:val="290"/>
        </w:trPr>
        <w:tc>
          <w:tcPr>
            <w:tcW w:w="4957" w:type="dxa"/>
            <w:noWrap/>
            <w:hideMark/>
          </w:tcPr>
          <w:p w14:paraId="68E0CB37" w14:textId="77777777" w:rsidR="00155055" w:rsidRPr="00155055" w:rsidRDefault="00155055">
            <w:r w:rsidRPr="00155055">
              <w:t>Setting</w:t>
            </w:r>
          </w:p>
        </w:tc>
        <w:tc>
          <w:tcPr>
            <w:tcW w:w="2835" w:type="dxa"/>
            <w:noWrap/>
            <w:hideMark/>
          </w:tcPr>
          <w:p w14:paraId="12E0EB0E" w14:textId="77777777" w:rsidR="00155055" w:rsidRPr="00155055" w:rsidRDefault="00155055">
            <w:r w:rsidRPr="00155055">
              <w:t>Proportion</w:t>
            </w:r>
            <w:r>
              <w:t xml:space="preserve"> of CYP on active caseload</w:t>
            </w:r>
          </w:p>
        </w:tc>
      </w:tr>
      <w:tr w:rsidR="00155055" w:rsidRPr="00155055" w14:paraId="713553C5" w14:textId="77777777" w:rsidTr="00155055">
        <w:trPr>
          <w:trHeight w:val="290"/>
        </w:trPr>
        <w:tc>
          <w:tcPr>
            <w:tcW w:w="4957" w:type="dxa"/>
            <w:noWrap/>
            <w:hideMark/>
          </w:tcPr>
          <w:p w14:paraId="55E7F03C" w14:textId="77777777" w:rsidR="00155055" w:rsidRPr="005A1F8E" w:rsidRDefault="00155055" w:rsidP="00155055">
            <w:r w:rsidRPr="005A1F8E">
              <w:t>Mainstream school</w:t>
            </w:r>
          </w:p>
        </w:tc>
        <w:tc>
          <w:tcPr>
            <w:tcW w:w="2835" w:type="dxa"/>
            <w:noWrap/>
            <w:hideMark/>
          </w:tcPr>
          <w:p w14:paraId="3DF81473" w14:textId="77777777" w:rsidR="00155055" w:rsidRPr="005A1F8E" w:rsidRDefault="00155055" w:rsidP="00155055">
            <w:pPr>
              <w:jc w:val="center"/>
            </w:pPr>
            <w:r w:rsidRPr="005A1F8E">
              <w:t>47%</w:t>
            </w:r>
          </w:p>
        </w:tc>
      </w:tr>
      <w:tr w:rsidR="00155055" w:rsidRPr="00155055" w14:paraId="7E34FBDE" w14:textId="77777777" w:rsidTr="00155055">
        <w:trPr>
          <w:trHeight w:val="290"/>
        </w:trPr>
        <w:tc>
          <w:tcPr>
            <w:tcW w:w="4957" w:type="dxa"/>
            <w:noWrap/>
            <w:hideMark/>
          </w:tcPr>
          <w:p w14:paraId="25DB9E29" w14:textId="606AD2BD" w:rsidR="00155055" w:rsidRPr="005A1F8E" w:rsidRDefault="007D53CD" w:rsidP="00155055">
            <w:r>
              <w:t>Generic</w:t>
            </w:r>
            <w:r w:rsidR="00155055" w:rsidRPr="005A1F8E">
              <w:t xml:space="preserve"> special school (e.g. P</w:t>
            </w:r>
            <w:r w:rsidR="002537CB">
              <w:t>ML</w:t>
            </w:r>
            <w:r w:rsidR="00155055" w:rsidRPr="005A1F8E">
              <w:t>D, SLD (maintained &amp; non-maintained)</w:t>
            </w:r>
          </w:p>
        </w:tc>
        <w:tc>
          <w:tcPr>
            <w:tcW w:w="2835" w:type="dxa"/>
            <w:noWrap/>
            <w:hideMark/>
          </w:tcPr>
          <w:p w14:paraId="754F4C74" w14:textId="77777777" w:rsidR="00155055" w:rsidRPr="005A1F8E" w:rsidRDefault="00155055" w:rsidP="00155055">
            <w:pPr>
              <w:jc w:val="center"/>
            </w:pPr>
            <w:r w:rsidRPr="005A1F8E">
              <w:t>18%</w:t>
            </w:r>
          </w:p>
        </w:tc>
      </w:tr>
      <w:tr w:rsidR="00155055" w:rsidRPr="00155055" w14:paraId="662C5047" w14:textId="77777777" w:rsidTr="00155055">
        <w:trPr>
          <w:trHeight w:val="290"/>
        </w:trPr>
        <w:tc>
          <w:tcPr>
            <w:tcW w:w="4957" w:type="dxa"/>
            <w:noWrap/>
            <w:hideMark/>
          </w:tcPr>
          <w:p w14:paraId="51AF6C0F" w14:textId="77777777" w:rsidR="00155055" w:rsidRPr="005A1F8E" w:rsidRDefault="00155055" w:rsidP="00155055">
            <w:r w:rsidRPr="005A1F8E">
              <w:t>Mainstream academy</w:t>
            </w:r>
          </w:p>
        </w:tc>
        <w:tc>
          <w:tcPr>
            <w:tcW w:w="2835" w:type="dxa"/>
            <w:noWrap/>
            <w:hideMark/>
          </w:tcPr>
          <w:p w14:paraId="51D15164" w14:textId="77777777" w:rsidR="00155055" w:rsidRPr="005A1F8E" w:rsidRDefault="00155055" w:rsidP="00155055">
            <w:pPr>
              <w:jc w:val="center"/>
            </w:pPr>
            <w:r w:rsidRPr="005A1F8E">
              <w:t>16%</w:t>
            </w:r>
          </w:p>
        </w:tc>
      </w:tr>
      <w:tr w:rsidR="00155055" w:rsidRPr="00155055" w14:paraId="0B1FF6ED" w14:textId="77777777" w:rsidTr="00155055">
        <w:trPr>
          <w:trHeight w:val="290"/>
        </w:trPr>
        <w:tc>
          <w:tcPr>
            <w:tcW w:w="4957" w:type="dxa"/>
            <w:noWrap/>
            <w:hideMark/>
          </w:tcPr>
          <w:p w14:paraId="4D10A3A9" w14:textId="77777777" w:rsidR="00155055" w:rsidRPr="005A1F8E" w:rsidRDefault="00155055" w:rsidP="00155055">
            <w:r w:rsidRPr="005A1F8E">
              <w:t>Special school academy</w:t>
            </w:r>
          </w:p>
        </w:tc>
        <w:tc>
          <w:tcPr>
            <w:tcW w:w="2835" w:type="dxa"/>
            <w:noWrap/>
            <w:hideMark/>
          </w:tcPr>
          <w:p w14:paraId="12636B81" w14:textId="77777777" w:rsidR="00155055" w:rsidRPr="005A1F8E" w:rsidRDefault="00155055" w:rsidP="00155055">
            <w:pPr>
              <w:jc w:val="center"/>
            </w:pPr>
            <w:r w:rsidRPr="005A1F8E">
              <w:t>9%</w:t>
            </w:r>
          </w:p>
        </w:tc>
      </w:tr>
      <w:tr w:rsidR="00155055" w:rsidRPr="00155055" w14:paraId="693EE279" w14:textId="77777777" w:rsidTr="00155055">
        <w:trPr>
          <w:trHeight w:val="290"/>
        </w:trPr>
        <w:tc>
          <w:tcPr>
            <w:tcW w:w="4957" w:type="dxa"/>
            <w:noWrap/>
            <w:hideMark/>
          </w:tcPr>
          <w:p w14:paraId="6450AB60" w14:textId="77777777" w:rsidR="00155055" w:rsidRPr="005A1F8E" w:rsidRDefault="00155055" w:rsidP="00155055">
            <w:r w:rsidRPr="005A1F8E">
              <w:t>Other type of setting (e.g. hospital school, home educated)</w:t>
            </w:r>
          </w:p>
        </w:tc>
        <w:tc>
          <w:tcPr>
            <w:tcW w:w="2835" w:type="dxa"/>
            <w:noWrap/>
            <w:hideMark/>
          </w:tcPr>
          <w:p w14:paraId="05CB7472" w14:textId="77777777" w:rsidR="00155055" w:rsidRPr="005A1F8E" w:rsidRDefault="00155055" w:rsidP="00155055">
            <w:pPr>
              <w:jc w:val="center"/>
            </w:pPr>
            <w:r w:rsidRPr="005A1F8E">
              <w:t>5%</w:t>
            </w:r>
          </w:p>
        </w:tc>
      </w:tr>
      <w:tr w:rsidR="00155055" w:rsidRPr="00155055" w14:paraId="32F66FDF" w14:textId="77777777" w:rsidTr="00155055">
        <w:trPr>
          <w:trHeight w:val="290"/>
        </w:trPr>
        <w:tc>
          <w:tcPr>
            <w:tcW w:w="4957" w:type="dxa"/>
            <w:noWrap/>
            <w:hideMark/>
          </w:tcPr>
          <w:p w14:paraId="2C832A7A" w14:textId="6FF4784F" w:rsidR="00155055" w:rsidRPr="005A1F8E" w:rsidRDefault="00155055" w:rsidP="00155055">
            <w:r w:rsidRPr="005A1F8E">
              <w:t>Maintained special</w:t>
            </w:r>
            <w:r w:rsidR="003D2A4E">
              <w:t>ist</w:t>
            </w:r>
            <w:r w:rsidRPr="005A1F8E">
              <w:t xml:space="preserve"> school for pupils with VI</w:t>
            </w:r>
          </w:p>
        </w:tc>
        <w:tc>
          <w:tcPr>
            <w:tcW w:w="2835" w:type="dxa"/>
            <w:noWrap/>
            <w:hideMark/>
          </w:tcPr>
          <w:p w14:paraId="3F016116" w14:textId="77777777" w:rsidR="00155055" w:rsidRPr="005A1F8E" w:rsidRDefault="00155055" w:rsidP="00155055">
            <w:pPr>
              <w:jc w:val="center"/>
            </w:pPr>
            <w:r w:rsidRPr="005A1F8E">
              <w:t>2%</w:t>
            </w:r>
          </w:p>
        </w:tc>
      </w:tr>
      <w:tr w:rsidR="00155055" w:rsidRPr="00155055" w14:paraId="01A1150C" w14:textId="77777777" w:rsidTr="00155055">
        <w:trPr>
          <w:trHeight w:val="290"/>
        </w:trPr>
        <w:tc>
          <w:tcPr>
            <w:tcW w:w="4957" w:type="dxa"/>
            <w:noWrap/>
            <w:hideMark/>
          </w:tcPr>
          <w:p w14:paraId="332E808D" w14:textId="77777777" w:rsidR="00155055" w:rsidRPr="005A1F8E" w:rsidRDefault="00155055" w:rsidP="00155055">
            <w:r w:rsidRPr="005A1F8E">
              <w:t>Mainstream with VI resource provision</w:t>
            </w:r>
          </w:p>
        </w:tc>
        <w:tc>
          <w:tcPr>
            <w:tcW w:w="2835" w:type="dxa"/>
            <w:noWrap/>
            <w:hideMark/>
          </w:tcPr>
          <w:p w14:paraId="1A066017" w14:textId="77777777" w:rsidR="00155055" w:rsidRPr="005A1F8E" w:rsidRDefault="00155055" w:rsidP="00155055">
            <w:pPr>
              <w:jc w:val="center"/>
            </w:pPr>
            <w:r w:rsidRPr="005A1F8E">
              <w:t>2%</w:t>
            </w:r>
          </w:p>
        </w:tc>
      </w:tr>
      <w:tr w:rsidR="00155055" w:rsidRPr="00155055" w14:paraId="12F3656D" w14:textId="77777777" w:rsidTr="00155055">
        <w:trPr>
          <w:trHeight w:val="290"/>
        </w:trPr>
        <w:tc>
          <w:tcPr>
            <w:tcW w:w="4957" w:type="dxa"/>
            <w:noWrap/>
            <w:hideMark/>
          </w:tcPr>
          <w:p w14:paraId="1BB113CD" w14:textId="59E2290F" w:rsidR="00155055" w:rsidRPr="005A1F8E" w:rsidRDefault="00155055" w:rsidP="00155055">
            <w:r w:rsidRPr="005A1F8E">
              <w:t>Non-maintained special</w:t>
            </w:r>
            <w:r w:rsidR="00BB1B85">
              <w:t>ist</w:t>
            </w:r>
            <w:r w:rsidRPr="005A1F8E">
              <w:t xml:space="preserve"> school for pupils with VI</w:t>
            </w:r>
          </w:p>
        </w:tc>
        <w:tc>
          <w:tcPr>
            <w:tcW w:w="2835" w:type="dxa"/>
            <w:noWrap/>
            <w:hideMark/>
          </w:tcPr>
          <w:p w14:paraId="735159EA" w14:textId="77777777" w:rsidR="00155055" w:rsidRDefault="00155055" w:rsidP="00155055">
            <w:pPr>
              <w:jc w:val="center"/>
            </w:pPr>
            <w:r w:rsidRPr="005A1F8E">
              <w:t>1%</w:t>
            </w:r>
          </w:p>
        </w:tc>
      </w:tr>
    </w:tbl>
    <w:p w14:paraId="1E86C8C3" w14:textId="77777777" w:rsidR="00155055" w:rsidRDefault="00155055" w:rsidP="00A02ADB"/>
    <w:p w14:paraId="33D0A33A" w14:textId="77777777" w:rsidR="00155055" w:rsidRDefault="00155055" w:rsidP="00A02ADB">
      <w:r>
        <w:t>Many authorities responded that they could not separate out mainstream school settings from mainstream academy settings. The combined total of these two groups represents the setting with most CYP receiving support at 53%. Special school academy and other types of special school represent the setting with the second most CYP supported at a combined 27%.</w:t>
      </w:r>
      <w:r w:rsidR="006539AE">
        <w:t xml:space="preserve"> The ‘other’ type of setting was most commonly reported as early years setting</w:t>
      </w:r>
      <w:r w:rsidR="00E32BE9">
        <w:t>s such as nurseries or a home educated setting.</w:t>
      </w:r>
    </w:p>
    <w:p w14:paraId="6612BF5C" w14:textId="77777777" w:rsidR="00E32BE9" w:rsidRDefault="00E32BE9" w:rsidP="00A02ADB"/>
    <w:p w14:paraId="78441DB6" w14:textId="78262AE3" w:rsidR="00E32BE9" w:rsidRDefault="00E32BE9" w:rsidP="00A02ADB">
      <w:r>
        <w:t xml:space="preserve">A further question on settings where early years provision is in place for those aged 3 and under found that almost all 134 authorities responding </w:t>
      </w:r>
      <w:r>
        <w:lastRenderedPageBreak/>
        <w:t>provided support within the child’s home, in pre-school settings and in school settings (99%, 100% and 97% respectively). And over two thirds (69%) provided support in other non-school settings such as in a child minder setting.</w:t>
      </w:r>
    </w:p>
    <w:p w14:paraId="6834C188" w14:textId="77777777" w:rsidR="00155055" w:rsidRDefault="00155055" w:rsidP="00A02ADB"/>
    <w:p w14:paraId="4AF16655" w14:textId="2102A21A" w:rsidR="004A052F" w:rsidRDefault="004A052F" w:rsidP="004A052F">
      <w:pPr>
        <w:pStyle w:val="Heading3"/>
      </w:pPr>
      <w:r>
        <w:t>Groups not supported</w:t>
      </w:r>
    </w:p>
    <w:p w14:paraId="29EFA23F" w14:textId="5F7627AD" w:rsidR="004A052F" w:rsidRPr="00AF01FA" w:rsidRDefault="003D405C" w:rsidP="004A052F">
      <w:pPr>
        <w:rPr>
          <w:i/>
        </w:rPr>
      </w:pPr>
      <w:r>
        <w:t xml:space="preserve">There is a lack of consistency across local authorities in </w:t>
      </w:r>
      <w:r w:rsidR="00BF58DD">
        <w:t>support for children</w:t>
      </w:r>
      <w:r w:rsidR="00DE01C6">
        <w:t xml:space="preserve"> and young people </w:t>
      </w:r>
      <w:r w:rsidR="00400C16">
        <w:t>in certain groups</w:t>
      </w:r>
      <w:r w:rsidR="00DE01C6">
        <w:t>.</w:t>
      </w:r>
    </w:p>
    <w:p w14:paraId="343BD6E0" w14:textId="007E1598" w:rsidR="00405E26" w:rsidRDefault="00405E26" w:rsidP="00405E26"/>
    <w:p w14:paraId="5C54FC6A" w14:textId="3B2A0F90" w:rsidR="00405E26" w:rsidRDefault="00405E26" w:rsidP="00405E26">
      <w:r>
        <w:t xml:space="preserve">9% of authorities reported that specific age groups were not </w:t>
      </w:r>
      <w:r w:rsidR="00C059D9">
        <w:t>supported</w:t>
      </w:r>
      <w:r>
        <w:t>. These ranged from post 16 education (6% do not support), post 18 education (3%), post 19 education (2%) and 20 to 25 (2%).</w:t>
      </w:r>
      <w:r w:rsidR="00A12258">
        <w:t xml:space="preserve"> </w:t>
      </w:r>
      <w:r w:rsidR="002C71A3">
        <w:t xml:space="preserve">Since the 2014 SEND reforms, the </w:t>
      </w:r>
      <w:r w:rsidR="00477749">
        <w:t>SEN</w:t>
      </w:r>
      <w:r w:rsidR="0061567C">
        <w:t>D</w:t>
      </w:r>
      <w:r w:rsidR="00477749">
        <w:t xml:space="preserve"> Code of Practice</w:t>
      </w:r>
      <w:r w:rsidR="002C71A3">
        <w:t xml:space="preserve"> </w:t>
      </w:r>
      <w:r w:rsidR="00CD6922">
        <w:t xml:space="preserve">secures </w:t>
      </w:r>
      <w:r w:rsidR="002C71A3">
        <w:t xml:space="preserve">the entitlement of </w:t>
      </w:r>
      <w:r w:rsidR="001A5C10">
        <w:t xml:space="preserve">specialist </w:t>
      </w:r>
      <w:r w:rsidR="002C71A3">
        <w:t>support to young people</w:t>
      </w:r>
      <w:r w:rsidR="009A7206">
        <w:t xml:space="preserve"> with SEND up to the age of 25</w:t>
      </w:r>
      <w:r w:rsidR="004800B3">
        <w:t xml:space="preserve"> if they are in </w:t>
      </w:r>
      <w:r w:rsidR="007666AB">
        <w:t xml:space="preserve">full time </w:t>
      </w:r>
      <w:r w:rsidR="004800B3">
        <w:t>education or training</w:t>
      </w:r>
      <w:r w:rsidR="00180013">
        <w:t xml:space="preserve"> (</w:t>
      </w:r>
      <w:r w:rsidR="004C5CCB">
        <w:t>SEND Code of Practice, 2015</w:t>
      </w:r>
      <w:r w:rsidR="00180013">
        <w:t>)</w:t>
      </w:r>
      <w:r w:rsidR="004800B3">
        <w:t xml:space="preserve">. </w:t>
      </w:r>
      <w:r w:rsidR="00D9759B">
        <w:t xml:space="preserve">Although it is a small proportion, it </w:t>
      </w:r>
      <w:r w:rsidR="00331D0C">
        <w:t xml:space="preserve">is a concern that </w:t>
      </w:r>
      <w:r w:rsidR="00877C5A">
        <w:t>young people in some authorities are still</w:t>
      </w:r>
      <w:r w:rsidR="0054614D">
        <w:t xml:space="preserve"> not offered support</w:t>
      </w:r>
      <w:r w:rsidR="005455BF">
        <w:t xml:space="preserve"> in line with the entitlements set out in the SEN</w:t>
      </w:r>
      <w:r w:rsidR="0061567C">
        <w:t>D</w:t>
      </w:r>
      <w:r w:rsidR="005455BF">
        <w:t xml:space="preserve"> Code of Practice.</w:t>
      </w:r>
      <w:r w:rsidR="00ED3B34">
        <w:t xml:space="preserve"> </w:t>
      </w:r>
    </w:p>
    <w:p w14:paraId="38B5F5B0" w14:textId="77777777" w:rsidR="00405E26" w:rsidRDefault="00405E26" w:rsidP="00405E26"/>
    <w:p w14:paraId="2582EFDF" w14:textId="26BA9846" w:rsidR="00005DC5" w:rsidRDefault="00405E26" w:rsidP="00405E26">
      <w:r>
        <w:t xml:space="preserve">18% of authorities reported that </w:t>
      </w:r>
      <w:r w:rsidR="005950EA">
        <w:t>CYP</w:t>
      </w:r>
      <w:r>
        <w:t xml:space="preserve"> in specific types of setting were not supported. The most significant was further education colleges, with </w:t>
      </w:r>
      <w:r w:rsidR="00AF7BD8">
        <w:t>14</w:t>
      </w:r>
      <w:r>
        <w:t xml:space="preserve">% of authorities reporting that they did not offer support, or only in certain circumstances (for example, if colleges bought in support or if a CYP had an EHCP). </w:t>
      </w:r>
      <w:r w:rsidR="00B80A94">
        <w:t>In</w:t>
      </w:r>
      <w:r w:rsidR="002141FB">
        <w:t xml:space="preserve">cluding </w:t>
      </w:r>
      <w:r w:rsidR="002E4477">
        <w:t>authorities</w:t>
      </w:r>
      <w:r w:rsidR="002141FB">
        <w:t xml:space="preserve"> who said </w:t>
      </w:r>
      <w:r w:rsidR="0064330A">
        <w:t xml:space="preserve">FE </w:t>
      </w:r>
      <w:r w:rsidR="004A3C98">
        <w:t xml:space="preserve">age groups were </w:t>
      </w:r>
      <w:r w:rsidR="002E4477">
        <w:t>not supported, this increases to 21%</w:t>
      </w:r>
      <w:r w:rsidR="00B16A24">
        <w:t xml:space="preserve"> not supporting </w:t>
      </w:r>
      <w:r w:rsidR="00CE153D">
        <w:t>either older age groups or FE colleges</w:t>
      </w:r>
      <w:r w:rsidR="00005DC5">
        <w:t xml:space="preserve"> or both</w:t>
      </w:r>
      <w:r w:rsidR="002E4477">
        <w:t xml:space="preserve">. </w:t>
      </w:r>
      <w:r w:rsidR="00B512BC">
        <w:t xml:space="preserve">This suggests young people in one in five authorities are not </w:t>
      </w:r>
      <w:r w:rsidR="002B7A1F">
        <w:t>receiving</w:t>
      </w:r>
      <w:r w:rsidR="00B512BC">
        <w:t xml:space="preserve"> support due to their age or </w:t>
      </w:r>
      <w:r w:rsidR="00B00EEA">
        <w:t xml:space="preserve">attending </w:t>
      </w:r>
      <w:r w:rsidR="00B512BC">
        <w:t>an FE setting which, as stated previously,</w:t>
      </w:r>
      <w:r w:rsidR="0061131E">
        <w:t xml:space="preserve"> is not in line with the</w:t>
      </w:r>
      <w:r w:rsidR="005A5021">
        <w:t xml:space="preserve"> entitlements set out in the</w:t>
      </w:r>
      <w:r w:rsidR="0061131E">
        <w:t xml:space="preserve"> SEN</w:t>
      </w:r>
      <w:r w:rsidR="004477DD">
        <w:t>D</w:t>
      </w:r>
      <w:r w:rsidR="0061131E">
        <w:t xml:space="preserve"> Code of Practice.</w:t>
      </w:r>
    </w:p>
    <w:p w14:paraId="42DFD6B8" w14:textId="77777777" w:rsidR="00005DC5" w:rsidRDefault="00005DC5" w:rsidP="00405E26"/>
    <w:p w14:paraId="436465B8" w14:textId="20E63535" w:rsidR="00405E26" w:rsidRDefault="00405E26" w:rsidP="00405E26">
      <w:r>
        <w:t xml:space="preserve">5% of authorities did not offer support to </w:t>
      </w:r>
      <w:r w:rsidR="00574F02">
        <w:t>CYP</w:t>
      </w:r>
      <w:r w:rsidR="00E44710">
        <w:t xml:space="preserve"> with vision impairment</w:t>
      </w:r>
      <w:r w:rsidR="00574F02">
        <w:t xml:space="preserve"> in </w:t>
      </w:r>
      <w:r>
        <w:t xml:space="preserve">special schools, or only in certain circumstances. 5% of local authorities did not offer support to home-schooled CYP. </w:t>
      </w:r>
    </w:p>
    <w:p w14:paraId="71C43FCA" w14:textId="77777777" w:rsidR="00405E26" w:rsidRDefault="00405E26" w:rsidP="00405E26"/>
    <w:p w14:paraId="7D9F1D4E" w14:textId="749BA116" w:rsidR="00405E26" w:rsidRDefault="006062D5" w:rsidP="00405E26">
      <w:r>
        <w:t xml:space="preserve">A further </w:t>
      </w:r>
      <w:r w:rsidR="00405E26">
        <w:t xml:space="preserve">5% of authorities reported that </w:t>
      </w:r>
      <w:r w:rsidR="0039239E">
        <w:t>CYP</w:t>
      </w:r>
      <w:r w:rsidR="00405E26">
        <w:t xml:space="preserve"> with </w:t>
      </w:r>
      <w:r w:rsidR="000418D5">
        <w:t xml:space="preserve">vision impairment and </w:t>
      </w:r>
      <w:r w:rsidR="00405E26">
        <w:t xml:space="preserve">complex needs were not supported. Specifically, 4% of local authorities do not offer support to CYP </w:t>
      </w:r>
      <w:r w:rsidR="00DC10EC">
        <w:t>with vision impairment and complex needs</w:t>
      </w:r>
      <w:r w:rsidR="00405E26">
        <w:t xml:space="preserve"> in special schools</w:t>
      </w:r>
      <w:r w:rsidR="00405E26" w:rsidDel="00686530">
        <w:t>.</w:t>
      </w:r>
      <w:r w:rsidR="00405E26">
        <w:t xml:space="preserve"> </w:t>
      </w:r>
    </w:p>
    <w:p w14:paraId="1D920A27" w14:textId="77777777" w:rsidR="00405E26" w:rsidRDefault="00405E26" w:rsidP="00405E26"/>
    <w:p w14:paraId="5C3434E4" w14:textId="7D0028E2" w:rsidR="00405E26" w:rsidRDefault="00405E26" w:rsidP="00405E26">
      <w:r>
        <w:t xml:space="preserve">14% reported other groups that were not supported. These included home-schooled CYP (5%) or </w:t>
      </w:r>
      <w:r w:rsidR="00DC10EC">
        <w:t xml:space="preserve">those </w:t>
      </w:r>
      <w:r>
        <w:t xml:space="preserve">educated out of area (3%). </w:t>
      </w:r>
    </w:p>
    <w:p w14:paraId="0512D34F" w14:textId="77777777" w:rsidR="004A052F" w:rsidRDefault="004A052F" w:rsidP="00A02ADB"/>
    <w:p w14:paraId="6F5BD42E" w14:textId="011E4D87" w:rsidR="00277CEC" w:rsidRDefault="00584DDF" w:rsidP="00343757">
      <w:pPr>
        <w:pStyle w:val="Heading2"/>
      </w:pPr>
      <w:bookmarkStart w:id="23" w:name="_Toc19300782"/>
      <w:r>
        <w:lastRenderedPageBreak/>
        <w:t xml:space="preserve">4.3 </w:t>
      </w:r>
      <w:r w:rsidR="00A02ADB">
        <w:t>Teachers and support staff</w:t>
      </w:r>
      <w:bookmarkEnd w:id="23"/>
    </w:p>
    <w:p w14:paraId="0290EE6B" w14:textId="6AABD57E" w:rsidR="00BA3E94" w:rsidRDefault="00BA3E94" w:rsidP="00BA3E94">
      <w:pPr>
        <w:pStyle w:val="Heading3"/>
      </w:pPr>
      <w:r>
        <w:t>Summary</w:t>
      </w:r>
    </w:p>
    <w:p w14:paraId="3457A7CF" w14:textId="1F0F2EF6" w:rsidR="007D42D6" w:rsidRPr="00C214B2" w:rsidRDefault="007D42D6" w:rsidP="007D42D6">
      <w:pPr>
        <w:pStyle w:val="ListBullet"/>
      </w:pPr>
      <w:r w:rsidRPr="00C214B2">
        <w:t xml:space="preserve">Just over a quarter (28%) of 129 local authorities had an average QTVI caseload ratio of over 100, which is equivalent to 63 FTE QTVI posts. This figure has increased from </w:t>
      </w:r>
      <w:r w:rsidR="00A46D45" w:rsidRPr="00C214B2">
        <w:t>21</w:t>
      </w:r>
      <w:r w:rsidRPr="00C214B2">
        <w:t xml:space="preserve">% in 2017, which was equivalent to </w:t>
      </w:r>
      <w:r w:rsidR="005B4CA3" w:rsidRPr="00C214B2">
        <w:t>43.2</w:t>
      </w:r>
      <w:r w:rsidRPr="00C214B2">
        <w:t xml:space="preserve"> FTE QTVI posts. A ratio of over 100 students per QTVI raises concerns about capacity to support high numbers of students.</w:t>
      </w:r>
    </w:p>
    <w:p w14:paraId="0B7B2314" w14:textId="77777777" w:rsidR="00CC71EF" w:rsidRPr="00C214B2" w:rsidRDefault="00CC71EF" w:rsidP="00CC71EF">
      <w:pPr>
        <w:pStyle w:val="ListBullet"/>
      </w:pPr>
      <w:r w:rsidRPr="00C214B2">
        <w:t>Over the past two years, 43% of local authorities recorded a decrease in the FTE QTVI posts. Across these authorities, almost 50 FTE QTVI posts were lost from 2017 to 2019.</w:t>
      </w:r>
    </w:p>
    <w:p w14:paraId="77F067D4" w14:textId="435A54A6" w:rsidR="00ED1A89" w:rsidRDefault="00D5045C" w:rsidP="00BA3E94">
      <w:pPr>
        <w:pStyle w:val="ListBullet"/>
      </w:pPr>
      <w:r>
        <w:rPr>
          <w:lang w:eastAsia="en-GB"/>
        </w:rPr>
        <w:t>Over the past four years, more services have moved to a more generic management structure where those responsible for senior leadership</w:t>
      </w:r>
      <w:r w:rsidR="00FA01F5">
        <w:rPr>
          <w:lang w:eastAsia="en-GB"/>
        </w:rPr>
        <w:t xml:space="preserve"> of the VI service</w:t>
      </w:r>
      <w:r>
        <w:rPr>
          <w:lang w:eastAsia="en-GB"/>
        </w:rPr>
        <w:t xml:space="preserve"> do not hold QTVI qualifications.</w:t>
      </w:r>
      <w:r w:rsidR="00ED53E5">
        <w:rPr>
          <w:lang w:eastAsia="en-GB"/>
        </w:rPr>
        <w:t xml:space="preserve"> </w:t>
      </w:r>
      <w:r w:rsidR="00ED53E5">
        <w:t xml:space="preserve">57% of strategic managers held a QTVI MQ and 7% held a QTMSI MQ, compared </w:t>
      </w:r>
      <w:r w:rsidR="00ED12EA">
        <w:t xml:space="preserve">to </w:t>
      </w:r>
      <w:r w:rsidR="00ED53E5">
        <w:t>65% and 5% respectively in 2015.</w:t>
      </w:r>
    </w:p>
    <w:p w14:paraId="6FF067CB" w14:textId="2C3E953F" w:rsidR="00D5045C" w:rsidRDefault="00BE7821" w:rsidP="00BA3E94">
      <w:pPr>
        <w:pStyle w:val="ListBullet"/>
      </w:pPr>
      <w:r>
        <w:rPr>
          <w:lang w:eastAsia="en-GB"/>
        </w:rPr>
        <w:t xml:space="preserve">16% of service managers do not hold a QTVI MQ, QTMSI MQ, or </w:t>
      </w:r>
      <w:proofErr w:type="spellStart"/>
      <w:r>
        <w:rPr>
          <w:lang w:eastAsia="en-GB"/>
        </w:rPr>
        <w:t>ToD</w:t>
      </w:r>
      <w:proofErr w:type="spellEnd"/>
      <w:r>
        <w:rPr>
          <w:lang w:eastAsia="en-GB"/>
        </w:rPr>
        <w:t xml:space="preserve"> MQ.</w:t>
      </w:r>
    </w:p>
    <w:p w14:paraId="33B85A04" w14:textId="0A1BE8FB" w:rsidR="00D5045C" w:rsidRDefault="008B008F" w:rsidP="00BA3E94">
      <w:pPr>
        <w:pStyle w:val="ListBullet"/>
      </w:pPr>
      <w:r>
        <w:t>46%</w:t>
      </w:r>
      <w:r w:rsidR="00D5045C" w:rsidRPr="00D5045C">
        <w:t xml:space="preserve"> of the 147 local authorities recorded a decrease in the number of TA posts </w:t>
      </w:r>
      <w:r>
        <w:t xml:space="preserve">in the </w:t>
      </w:r>
      <w:r w:rsidR="00D5045C" w:rsidRPr="00D5045C">
        <w:t xml:space="preserve">last </w:t>
      </w:r>
      <w:r>
        <w:t>two years</w:t>
      </w:r>
      <w:r w:rsidR="00A44AC1">
        <w:t xml:space="preserve">. The </w:t>
      </w:r>
      <w:r w:rsidR="00D311F3">
        <w:t>remaining percentage is made up of local authorities reporting either an increase</w:t>
      </w:r>
      <w:r w:rsidR="00CC1797">
        <w:t xml:space="preserve"> or no change</w:t>
      </w:r>
      <w:r w:rsidR="003F0296">
        <w:t>. However, local authorities</w:t>
      </w:r>
      <w:r w:rsidR="00DC2B48">
        <w:t xml:space="preserve"> do not </w:t>
      </w:r>
      <w:r w:rsidR="00A44AC1">
        <w:t xml:space="preserve">hold information on all TAs, with </w:t>
      </w:r>
      <w:r w:rsidR="00CC71CF">
        <w:t>72 local authorities stat</w:t>
      </w:r>
      <w:r w:rsidR="00A44AC1">
        <w:t>ing</w:t>
      </w:r>
      <w:r w:rsidR="00CC71CF">
        <w:t xml:space="preserve"> that they are aware of </w:t>
      </w:r>
      <w:r w:rsidR="00A44AC1">
        <w:t>other TAs that the VI service does not hold information on.</w:t>
      </w:r>
      <w:r w:rsidR="00F10E07">
        <w:t xml:space="preserve"> More information is needed to understand the landscape of TAs employed directly by schools.</w:t>
      </w:r>
    </w:p>
    <w:p w14:paraId="5D2A2407" w14:textId="77C8D8AB" w:rsidR="00BA3E94" w:rsidRDefault="00BA3E94" w:rsidP="00BA3E94"/>
    <w:p w14:paraId="6F2D1925" w14:textId="7D14CE2A" w:rsidR="00BA3E94" w:rsidRPr="00BA3E94" w:rsidRDefault="00BA3E94" w:rsidP="00BA3E94">
      <w:pPr>
        <w:pStyle w:val="Heading3"/>
      </w:pPr>
      <w:r>
        <w:t>QTVI posts</w:t>
      </w:r>
    </w:p>
    <w:p w14:paraId="15A44682" w14:textId="02F2E43B" w:rsidR="00405E26" w:rsidRPr="00405E26" w:rsidRDefault="00405E26" w:rsidP="00405E26">
      <w:pPr>
        <w:tabs>
          <w:tab w:val="left" w:pos="567"/>
        </w:tabs>
        <w:rPr>
          <w:lang w:eastAsia="en-GB"/>
        </w:rPr>
      </w:pPr>
      <w:r w:rsidRPr="00405E26">
        <w:rPr>
          <w:lang w:eastAsia="en-GB"/>
        </w:rPr>
        <w:t>There were 3</w:t>
      </w:r>
      <w:r w:rsidR="00B74A57">
        <w:rPr>
          <w:lang w:eastAsia="en-GB"/>
        </w:rPr>
        <w:t>65</w:t>
      </w:r>
      <w:r w:rsidR="001306D5">
        <w:rPr>
          <w:lang w:eastAsia="en-GB"/>
        </w:rPr>
        <w:t>.</w:t>
      </w:r>
      <w:r w:rsidR="00B74A57">
        <w:rPr>
          <w:lang w:eastAsia="en-GB"/>
        </w:rPr>
        <w:t>5</w:t>
      </w:r>
      <w:r w:rsidRPr="00405E26">
        <w:rPr>
          <w:lang w:eastAsia="en-GB"/>
        </w:rPr>
        <w:t xml:space="preserve"> FTE posts for QTVIs and 20.2 FTE posts for QTMSIs across 13</w:t>
      </w:r>
      <w:r w:rsidR="00A914CB">
        <w:rPr>
          <w:lang w:eastAsia="en-GB"/>
        </w:rPr>
        <w:t>1</w:t>
      </w:r>
      <w:r w:rsidRPr="00405E26">
        <w:rPr>
          <w:lang w:eastAsia="en-GB"/>
        </w:rPr>
        <w:t xml:space="preserve"> local authorities. There were an additional 16.3 FTE posts holding both a QTVI and QTMSI MQ (mandatory qualification). </w:t>
      </w:r>
    </w:p>
    <w:p w14:paraId="5A31937C" w14:textId="77777777" w:rsidR="00405E26" w:rsidRPr="00405E26" w:rsidRDefault="00405E26" w:rsidP="00405E26">
      <w:pPr>
        <w:tabs>
          <w:tab w:val="left" w:pos="567"/>
        </w:tabs>
        <w:rPr>
          <w:lang w:eastAsia="en-GB"/>
        </w:rPr>
      </w:pPr>
    </w:p>
    <w:p w14:paraId="3AF3E6F8" w14:textId="2220EA17" w:rsidR="00405E26" w:rsidRPr="00AB5385" w:rsidRDefault="3DCDF642" w:rsidP="3DCDF642">
      <w:pPr>
        <w:tabs>
          <w:tab w:val="left" w:pos="567"/>
        </w:tabs>
        <w:rPr>
          <w:lang w:eastAsia="en-GB"/>
        </w:rPr>
      </w:pPr>
      <w:r w:rsidRPr="3DCDF642">
        <w:rPr>
          <w:lang w:eastAsia="en-GB"/>
        </w:rPr>
        <w:t>The total active caseload was 24,668 across 1</w:t>
      </w:r>
      <w:r w:rsidR="00BB7F98">
        <w:rPr>
          <w:lang w:eastAsia="en-GB"/>
        </w:rPr>
        <w:t>32</w:t>
      </w:r>
      <w:r w:rsidRPr="3DCDF642">
        <w:rPr>
          <w:lang w:eastAsia="en-GB"/>
        </w:rPr>
        <w:t xml:space="preserve"> local authorities providing active caseload data, resulting in an average caseload ratio of 7</w:t>
      </w:r>
      <w:r w:rsidR="006C3050">
        <w:rPr>
          <w:lang w:eastAsia="en-GB"/>
        </w:rPr>
        <w:t>7</w:t>
      </w:r>
      <w:r w:rsidRPr="3DCDF642">
        <w:rPr>
          <w:lang w:eastAsia="en-GB"/>
        </w:rPr>
        <w:t xml:space="preserve"> pupils to every FTE QTVI. Over a quarter (</w:t>
      </w:r>
      <w:r w:rsidRPr="00676000">
        <w:rPr>
          <w:lang w:eastAsia="en-GB"/>
        </w:rPr>
        <w:t>28%</w:t>
      </w:r>
      <w:r w:rsidRPr="3DCDF642">
        <w:rPr>
          <w:lang w:eastAsia="en-GB"/>
        </w:rPr>
        <w:t xml:space="preserve">) of the 129 local authorities had an average caseload ratio of over 100, which is equivalent to 63 FTE QTVI posts. </w:t>
      </w:r>
      <w:r w:rsidRPr="00AB5385">
        <w:rPr>
          <w:lang w:eastAsia="en-GB"/>
        </w:rPr>
        <w:t xml:space="preserve">This figure has increased from 2017, which saw </w:t>
      </w:r>
      <w:r w:rsidR="00006CEA" w:rsidRPr="00AB5385">
        <w:rPr>
          <w:lang w:eastAsia="en-GB"/>
        </w:rPr>
        <w:t>21</w:t>
      </w:r>
      <w:r w:rsidRPr="00AB5385">
        <w:rPr>
          <w:lang w:eastAsia="en-GB"/>
        </w:rPr>
        <w:t xml:space="preserve">% of local authorities have an average caseload ratio of over 100, which was equivalent to a total of </w:t>
      </w:r>
      <w:r w:rsidR="00861665" w:rsidRPr="00AB5385">
        <w:rPr>
          <w:lang w:eastAsia="en-GB"/>
        </w:rPr>
        <w:t>43.2</w:t>
      </w:r>
      <w:r w:rsidRPr="00AB5385">
        <w:rPr>
          <w:lang w:eastAsia="en-GB"/>
        </w:rPr>
        <w:t xml:space="preserve"> FTE QTVI posts. </w:t>
      </w:r>
    </w:p>
    <w:p w14:paraId="39F099A7" w14:textId="77777777" w:rsidR="00405E26" w:rsidRPr="00AB5385" w:rsidRDefault="00405E26" w:rsidP="00405E26">
      <w:pPr>
        <w:tabs>
          <w:tab w:val="left" w:pos="567"/>
        </w:tabs>
        <w:rPr>
          <w:lang w:eastAsia="en-GB"/>
        </w:rPr>
      </w:pPr>
    </w:p>
    <w:p w14:paraId="5E43622D" w14:textId="53C507D3" w:rsidR="00405E26" w:rsidRDefault="00861665" w:rsidP="3DCDF642">
      <w:pPr>
        <w:tabs>
          <w:tab w:val="left" w:pos="567"/>
        </w:tabs>
        <w:rPr>
          <w:lang w:eastAsia="en-GB"/>
        </w:rPr>
      </w:pPr>
      <w:r w:rsidRPr="00AB5385">
        <w:rPr>
          <w:lang w:eastAsia="en-GB"/>
        </w:rPr>
        <w:t>43%</w:t>
      </w:r>
      <w:r w:rsidR="3DCDF642" w:rsidRPr="00AB5385">
        <w:rPr>
          <w:lang w:eastAsia="en-GB"/>
        </w:rPr>
        <w:t xml:space="preserve"> of the 11</w:t>
      </w:r>
      <w:r w:rsidRPr="00AB5385">
        <w:rPr>
          <w:lang w:eastAsia="en-GB"/>
        </w:rPr>
        <w:t>0</w:t>
      </w:r>
      <w:r w:rsidR="3DCDF642" w:rsidRPr="00AB5385">
        <w:rPr>
          <w:lang w:eastAsia="en-GB"/>
        </w:rPr>
        <w:t xml:space="preserve"> local authorities providing comparable data recorded a decrease in the number of FTE QTVI posts over the last two years. </w:t>
      </w:r>
      <w:r w:rsidR="00DF4733" w:rsidRPr="00AB5385">
        <w:rPr>
          <w:lang w:eastAsia="en-GB"/>
        </w:rPr>
        <w:t>33</w:t>
      </w:r>
      <w:r w:rsidR="3DCDF642" w:rsidRPr="00AB5385">
        <w:rPr>
          <w:lang w:eastAsia="en-GB"/>
        </w:rPr>
        <w:t xml:space="preserve">% </w:t>
      </w:r>
      <w:r w:rsidR="3DCDF642" w:rsidRPr="00AB5385">
        <w:rPr>
          <w:lang w:eastAsia="en-GB"/>
        </w:rPr>
        <w:lastRenderedPageBreak/>
        <w:t>reported an increase, while 2</w:t>
      </w:r>
      <w:r w:rsidR="00654467" w:rsidRPr="00AB5385">
        <w:rPr>
          <w:lang w:eastAsia="en-GB"/>
        </w:rPr>
        <w:t>5</w:t>
      </w:r>
      <w:r w:rsidR="3DCDF642" w:rsidRPr="00AB5385">
        <w:rPr>
          <w:lang w:eastAsia="en-GB"/>
        </w:rPr>
        <w:t>% reported no change</w:t>
      </w:r>
      <w:r w:rsidR="00654467" w:rsidRPr="00AB5385">
        <w:rPr>
          <w:lang w:eastAsia="en-GB"/>
        </w:rPr>
        <w:t>. Please note that percentages written may not sum to 100</w:t>
      </w:r>
      <w:r w:rsidR="0055665D" w:rsidRPr="00AB5385">
        <w:rPr>
          <w:lang w:eastAsia="en-GB"/>
        </w:rPr>
        <w:t>%</w:t>
      </w:r>
      <w:r w:rsidR="00654467" w:rsidRPr="00AB5385">
        <w:rPr>
          <w:lang w:eastAsia="en-GB"/>
        </w:rPr>
        <w:t xml:space="preserve"> due to rounding</w:t>
      </w:r>
      <w:r w:rsidR="3DCDF642" w:rsidRPr="00AB5385">
        <w:rPr>
          <w:lang w:eastAsia="en-GB"/>
        </w:rPr>
        <w:t>. The overall change in support is equivalent to a</w:t>
      </w:r>
      <w:r w:rsidR="004809C6" w:rsidRPr="00AB5385">
        <w:rPr>
          <w:lang w:eastAsia="en-GB"/>
        </w:rPr>
        <w:t xml:space="preserve"> net </w:t>
      </w:r>
      <w:r w:rsidR="3DCDF642" w:rsidRPr="00AB5385">
        <w:rPr>
          <w:lang w:eastAsia="en-GB"/>
        </w:rPr>
        <w:t xml:space="preserve">reduction of </w:t>
      </w:r>
      <w:r w:rsidR="00D6742E" w:rsidRPr="00AB5385">
        <w:rPr>
          <w:lang w:eastAsia="en-GB"/>
        </w:rPr>
        <w:t>23.4</w:t>
      </w:r>
      <w:r w:rsidR="3DCDF642" w:rsidRPr="00AB5385">
        <w:rPr>
          <w:lang w:eastAsia="en-GB"/>
        </w:rPr>
        <w:t xml:space="preserve"> FTE QTVI posts between 2017 and 2019, a </w:t>
      </w:r>
      <w:r w:rsidR="00D6742E" w:rsidRPr="00AB5385">
        <w:rPr>
          <w:lang w:eastAsia="en-GB"/>
        </w:rPr>
        <w:t>7</w:t>
      </w:r>
      <w:r w:rsidR="3DCDF642" w:rsidRPr="00AB5385">
        <w:rPr>
          <w:lang w:eastAsia="en-GB"/>
        </w:rPr>
        <w:t>% reduction in resource.</w:t>
      </w:r>
      <w:r w:rsidR="004809C6" w:rsidRPr="00AB5385">
        <w:rPr>
          <w:lang w:eastAsia="en-GB"/>
        </w:rPr>
        <w:t xml:space="preserve"> However, across authorities recording a decrease in FTE QTVI posts, </w:t>
      </w:r>
      <w:r w:rsidR="0031330A" w:rsidRPr="00AB5385">
        <w:rPr>
          <w:lang w:eastAsia="en-GB"/>
        </w:rPr>
        <w:t>48.</w:t>
      </w:r>
      <w:r w:rsidR="0072264D" w:rsidRPr="00AB5385">
        <w:rPr>
          <w:lang w:eastAsia="en-GB"/>
        </w:rPr>
        <w:t xml:space="preserve">5 </w:t>
      </w:r>
      <w:r w:rsidR="00372821" w:rsidRPr="00AB5385">
        <w:rPr>
          <w:lang w:eastAsia="en-GB"/>
        </w:rPr>
        <w:t>FTE posts were lost.</w:t>
      </w:r>
    </w:p>
    <w:p w14:paraId="48CA103B" w14:textId="0ADD7477" w:rsidR="00123927" w:rsidRDefault="00123927" w:rsidP="3DCDF642">
      <w:pPr>
        <w:tabs>
          <w:tab w:val="left" w:pos="567"/>
        </w:tabs>
        <w:rPr>
          <w:lang w:eastAsia="en-GB"/>
        </w:rPr>
      </w:pPr>
    </w:p>
    <w:p w14:paraId="39941227" w14:textId="2BB79F6F" w:rsidR="00405E26" w:rsidRPr="00405E26" w:rsidRDefault="00405E26" w:rsidP="00405E26">
      <w:pPr>
        <w:tabs>
          <w:tab w:val="left" w:pos="567"/>
        </w:tabs>
        <w:rPr>
          <w:lang w:eastAsia="en-GB"/>
        </w:rPr>
      </w:pPr>
      <w:r w:rsidRPr="00405E26">
        <w:rPr>
          <w:lang w:eastAsia="en-GB"/>
        </w:rPr>
        <w:t>The total number of QTVI posts (headcount</w:t>
      </w:r>
      <w:r w:rsidR="0011437A">
        <w:rPr>
          <w:lang w:eastAsia="en-GB"/>
        </w:rPr>
        <w:t xml:space="preserve"> of </w:t>
      </w:r>
      <w:r w:rsidR="004C4C08">
        <w:rPr>
          <w:lang w:eastAsia="en-GB"/>
        </w:rPr>
        <w:t>both full-time and part-time posts</w:t>
      </w:r>
      <w:r w:rsidRPr="00405E26">
        <w:rPr>
          <w:lang w:eastAsia="en-GB"/>
        </w:rPr>
        <w:t xml:space="preserve">) was 451 across 135 local authorities, 19 of which were temporary contracts. There were 28 QTMSI posts and 18 </w:t>
      </w:r>
      <w:r w:rsidR="009029B8">
        <w:rPr>
          <w:lang w:eastAsia="en-GB"/>
        </w:rPr>
        <w:t>joint QTVI and QTMSI posts</w:t>
      </w:r>
      <w:r w:rsidRPr="00405E26">
        <w:rPr>
          <w:lang w:eastAsia="en-GB"/>
        </w:rPr>
        <w:t>, each with one temporary contract.</w:t>
      </w:r>
    </w:p>
    <w:p w14:paraId="008942D4" w14:textId="39B1B055" w:rsidR="00405E26" w:rsidRDefault="00405E26" w:rsidP="00405E26">
      <w:pPr>
        <w:tabs>
          <w:tab w:val="left" w:pos="567"/>
        </w:tabs>
        <w:rPr>
          <w:color w:val="FF0000"/>
          <w:lang w:eastAsia="en-GB"/>
        </w:rPr>
      </w:pPr>
    </w:p>
    <w:p w14:paraId="70C672EF" w14:textId="5B5EBB2E" w:rsidR="00BA3E94" w:rsidRPr="00405E26" w:rsidRDefault="00BA3E94" w:rsidP="00BA3E94">
      <w:pPr>
        <w:pStyle w:val="Heading3"/>
        <w:rPr>
          <w:lang w:eastAsia="en-GB"/>
        </w:rPr>
      </w:pPr>
      <w:r>
        <w:rPr>
          <w:lang w:eastAsia="en-GB"/>
        </w:rPr>
        <w:t>Other service posts</w:t>
      </w:r>
    </w:p>
    <w:p w14:paraId="3BB33F12" w14:textId="2FDEB1A1" w:rsidR="0055665D" w:rsidRPr="0055665D" w:rsidRDefault="00804C54" w:rsidP="00405E26">
      <w:pPr>
        <w:tabs>
          <w:tab w:val="left" w:pos="567"/>
        </w:tabs>
        <w:rPr>
          <w:lang w:eastAsia="en-GB"/>
        </w:rPr>
      </w:pPr>
      <w:r>
        <w:rPr>
          <w:lang w:eastAsia="en-GB"/>
        </w:rPr>
        <w:t>O</w:t>
      </w:r>
      <w:r w:rsidR="00405E26" w:rsidRPr="00405E26">
        <w:rPr>
          <w:lang w:eastAsia="en-GB"/>
        </w:rPr>
        <w:t xml:space="preserve">f </w:t>
      </w:r>
      <w:r w:rsidR="00BA3E94">
        <w:rPr>
          <w:lang w:eastAsia="en-GB"/>
        </w:rPr>
        <w:t>service managers</w:t>
      </w:r>
      <w:r w:rsidR="00405E26" w:rsidRPr="00405E26">
        <w:rPr>
          <w:lang w:eastAsia="en-GB"/>
        </w:rPr>
        <w:t xml:space="preserve"> with responsibility for strategic management of the </w:t>
      </w:r>
      <w:r w:rsidR="00F6314A">
        <w:rPr>
          <w:lang w:eastAsia="en-GB"/>
        </w:rPr>
        <w:t>VI service</w:t>
      </w:r>
      <w:r>
        <w:rPr>
          <w:lang w:eastAsia="en-GB"/>
        </w:rPr>
        <w:t>, 57%</w:t>
      </w:r>
      <w:r w:rsidR="00405E26" w:rsidRPr="00405E26">
        <w:rPr>
          <w:lang w:eastAsia="en-GB"/>
        </w:rPr>
        <w:t xml:space="preserve"> held a QTVI MQ, 7% held a QTMSI MQ</w:t>
      </w:r>
      <w:r w:rsidR="00BE3172">
        <w:rPr>
          <w:lang w:eastAsia="en-GB"/>
        </w:rPr>
        <w:t xml:space="preserve"> and</w:t>
      </w:r>
      <w:r w:rsidR="00301FFF">
        <w:rPr>
          <w:lang w:eastAsia="en-GB"/>
        </w:rPr>
        <w:t xml:space="preserve"> 28% held a </w:t>
      </w:r>
      <w:proofErr w:type="spellStart"/>
      <w:r w:rsidR="009E1B68">
        <w:rPr>
          <w:lang w:eastAsia="en-GB"/>
        </w:rPr>
        <w:t>ToD</w:t>
      </w:r>
      <w:proofErr w:type="spellEnd"/>
      <w:r w:rsidR="00BE3172">
        <w:rPr>
          <w:lang w:eastAsia="en-GB"/>
        </w:rPr>
        <w:t xml:space="preserve"> MQ. </w:t>
      </w:r>
      <w:r w:rsidR="00D24EE3">
        <w:rPr>
          <w:lang w:eastAsia="en-GB"/>
        </w:rPr>
        <w:t>Please note that these figures may not</w:t>
      </w:r>
      <w:r w:rsidR="0058011C">
        <w:rPr>
          <w:lang w:eastAsia="en-GB"/>
        </w:rPr>
        <w:t xml:space="preserve"> equal 100% as a single manager may hold more than one qualification.</w:t>
      </w:r>
      <w:r w:rsidR="00900E1C">
        <w:rPr>
          <w:lang w:eastAsia="en-GB"/>
        </w:rPr>
        <w:t xml:space="preserve"> </w:t>
      </w:r>
      <w:r w:rsidR="00BA3E94">
        <w:rPr>
          <w:lang w:eastAsia="en-GB"/>
        </w:rPr>
        <w:t>These figures were last reported in 2015 where 65% of service managers held a QTVI MQ and 5% held a QTMSI MQ. The changes indicate that over the past four years, more services have moved to a more generic management structure where those responsible for senior leadership do not hold QTV</w:t>
      </w:r>
      <w:r w:rsidR="00714745">
        <w:rPr>
          <w:lang w:eastAsia="en-GB"/>
        </w:rPr>
        <w:t>I or QTMSI specialist</w:t>
      </w:r>
      <w:r w:rsidR="00BA3E94">
        <w:rPr>
          <w:lang w:eastAsia="en-GB"/>
        </w:rPr>
        <w:t xml:space="preserve"> qualifications.</w:t>
      </w:r>
    </w:p>
    <w:p w14:paraId="00481545" w14:textId="686498F5" w:rsidR="00804C54" w:rsidRDefault="00804C54" w:rsidP="00405E26">
      <w:pPr>
        <w:tabs>
          <w:tab w:val="left" w:pos="567"/>
        </w:tabs>
        <w:rPr>
          <w:b/>
          <w:color w:val="FF0000"/>
          <w:lang w:eastAsia="en-GB"/>
        </w:rPr>
      </w:pPr>
    </w:p>
    <w:p w14:paraId="764CE53D" w14:textId="742B53F6" w:rsidR="00804C54" w:rsidRPr="009E1B68" w:rsidRDefault="001360C1" w:rsidP="001360C1">
      <w:pPr>
        <w:rPr>
          <w:lang w:eastAsia="en-GB"/>
        </w:rPr>
      </w:pPr>
      <w:r>
        <w:rPr>
          <w:lang w:eastAsia="en-GB"/>
        </w:rPr>
        <w:t xml:space="preserve">Of the 147 local authorities that responded, 74% </w:t>
      </w:r>
      <w:r w:rsidR="00183EDA">
        <w:rPr>
          <w:lang w:eastAsia="en-GB"/>
        </w:rPr>
        <w:t>of people responsible for strategic management of the VI service,</w:t>
      </w:r>
      <w:r w:rsidR="004513DB">
        <w:rPr>
          <w:lang w:eastAsia="en-GB"/>
        </w:rPr>
        <w:t xml:space="preserve"> h</w:t>
      </w:r>
      <w:r>
        <w:rPr>
          <w:lang w:eastAsia="en-GB"/>
        </w:rPr>
        <w:t xml:space="preserve">eld at least one of a QTVI MQ, QTMSI MQ, or </w:t>
      </w:r>
      <w:proofErr w:type="spellStart"/>
      <w:r>
        <w:rPr>
          <w:lang w:eastAsia="en-GB"/>
        </w:rPr>
        <w:t>ToD</w:t>
      </w:r>
      <w:proofErr w:type="spellEnd"/>
      <w:r>
        <w:rPr>
          <w:lang w:eastAsia="en-GB"/>
        </w:rPr>
        <w:t xml:space="preserve"> MQ. 12% held none of these but held other relevant qualifications (such as post-graduate degrees in education) and 14% held no MQ and listed no other </w:t>
      </w:r>
      <w:r w:rsidR="00136431">
        <w:rPr>
          <w:lang w:eastAsia="en-GB"/>
        </w:rPr>
        <w:t>SEND q</w:t>
      </w:r>
      <w:r>
        <w:rPr>
          <w:lang w:eastAsia="en-GB"/>
        </w:rPr>
        <w:t>ualifications.</w:t>
      </w:r>
    </w:p>
    <w:p w14:paraId="1567C880" w14:textId="77777777" w:rsidR="00405E26" w:rsidRPr="00405E26" w:rsidRDefault="00405E26" w:rsidP="00405E26">
      <w:pPr>
        <w:tabs>
          <w:tab w:val="left" w:pos="567"/>
        </w:tabs>
        <w:rPr>
          <w:color w:val="FF0000"/>
          <w:lang w:eastAsia="en-GB"/>
        </w:rPr>
      </w:pPr>
    </w:p>
    <w:p w14:paraId="49838598" w14:textId="511CFDF4" w:rsidR="00405E26" w:rsidRPr="00405E26" w:rsidRDefault="00405E26" w:rsidP="00405E26">
      <w:pPr>
        <w:tabs>
          <w:tab w:val="left" w:pos="567"/>
        </w:tabs>
        <w:rPr>
          <w:lang w:eastAsia="en-GB"/>
        </w:rPr>
      </w:pPr>
      <w:r w:rsidRPr="00405E26">
        <w:rPr>
          <w:lang w:eastAsia="en-GB"/>
        </w:rPr>
        <w:t xml:space="preserve">There were 442.9 FTE </w:t>
      </w:r>
      <w:r w:rsidR="00830E61">
        <w:rPr>
          <w:lang w:eastAsia="en-GB"/>
        </w:rPr>
        <w:t xml:space="preserve">additional </w:t>
      </w:r>
      <w:r w:rsidRPr="00405E26">
        <w:rPr>
          <w:lang w:eastAsia="en-GB"/>
        </w:rPr>
        <w:t xml:space="preserve">posts for staff that are employed directly by and support the VI service across 128 local authorities. This includes resource technicians, ICT support technicians, dedicated early years staff, family support workers, admin and secretarial staff, and teaching assistants, as well as other roles. </w:t>
      </w:r>
      <w:r w:rsidR="004522FE">
        <w:rPr>
          <w:lang w:eastAsia="en-GB"/>
        </w:rPr>
        <w:t>This does not include QTVIs and QTMSIs.</w:t>
      </w:r>
      <w:r w:rsidRPr="00405E26">
        <w:rPr>
          <w:lang w:eastAsia="en-GB"/>
        </w:rPr>
        <w:t xml:space="preserve"> </w:t>
      </w:r>
      <w:r w:rsidR="002B5197">
        <w:rPr>
          <w:lang w:eastAsia="en-GB"/>
        </w:rPr>
        <w:t xml:space="preserve">Teaching </w:t>
      </w:r>
      <w:r w:rsidRPr="00405E26">
        <w:rPr>
          <w:lang w:eastAsia="en-GB"/>
        </w:rPr>
        <w:t>assistants (TAs) made up 57% of these roles, representing 254.1 FTE.</w:t>
      </w:r>
    </w:p>
    <w:p w14:paraId="55A8E50F" w14:textId="77777777" w:rsidR="00405E26" w:rsidRPr="00405E26" w:rsidRDefault="00405E26" w:rsidP="00405E26">
      <w:pPr>
        <w:rPr>
          <w:lang w:eastAsia="en-GB"/>
        </w:rPr>
      </w:pPr>
    </w:p>
    <w:p w14:paraId="4B684185" w14:textId="77777777" w:rsidR="00405E26" w:rsidRPr="00405E26" w:rsidRDefault="00405E26" w:rsidP="00405E26">
      <w:pPr>
        <w:keepNext/>
        <w:spacing w:after="100"/>
        <w:outlineLvl w:val="2"/>
        <w:rPr>
          <w:b/>
          <w:sz w:val="32"/>
          <w:lang w:eastAsia="en-GB"/>
        </w:rPr>
      </w:pPr>
      <w:r w:rsidRPr="00405E26">
        <w:rPr>
          <w:b/>
          <w:sz w:val="32"/>
          <w:lang w:eastAsia="en-GB"/>
        </w:rPr>
        <w:t>Teaching assistants</w:t>
      </w:r>
    </w:p>
    <w:p w14:paraId="75069689" w14:textId="2BA50446" w:rsidR="00405E26" w:rsidRDefault="00405E26" w:rsidP="00405E26">
      <w:pPr>
        <w:rPr>
          <w:lang w:eastAsia="en-GB"/>
        </w:rPr>
      </w:pPr>
      <w:r w:rsidRPr="00405E26">
        <w:rPr>
          <w:lang w:eastAsia="en-GB"/>
        </w:rPr>
        <w:t>The total number of TA posts (headcount</w:t>
      </w:r>
      <w:r w:rsidR="00394ED4">
        <w:rPr>
          <w:lang w:eastAsia="en-GB"/>
        </w:rPr>
        <w:t xml:space="preserve"> of</w:t>
      </w:r>
      <w:r w:rsidR="002B4FA0">
        <w:rPr>
          <w:lang w:eastAsia="en-GB"/>
        </w:rPr>
        <w:t xml:space="preserve"> both full-time and part-time</w:t>
      </w:r>
      <w:r w:rsidRPr="00405E26">
        <w:rPr>
          <w:lang w:eastAsia="en-GB"/>
        </w:rPr>
        <w:t xml:space="preserve">) across 128 local authorities is estimated to be 1,152. </w:t>
      </w:r>
      <w:r w:rsidR="00783A8D">
        <w:rPr>
          <w:lang w:eastAsia="en-GB"/>
        </w:rPr>
        <w:t>Of this number</w:t>
      </w:r>
      <w:r w:rsidR="00053C83">
        <w:rPr>
          <w:lang w:eastAsia="en-GB"/>
        </w:rPr>
        <w:t>,</w:t>
      </w:r>
      <w:r w:rsidR="00783A8D">
        <w:rPr>
          <w:lang w:eastAsia="en-GB"/>
        </w:rPr>
        <w:t xml:space="preserve"> </w:t>
      </w:r>
      <w:r w:rsidRPr="00405E26">
        <w:rPr>
          <w:lang w:eastAsia="en-GB"/>
        </w:rPr>
        <w:t xml:space="preserve">31% are directly employed by the VI service (23% centrally-based/peripatetic and 8% school-based), while 60% are employed </w:t>
      </w:r>
      <w:r w:rsidRPr="00405E26">
        <w:rPr>
          <w:lang w:eastAsia="en-GB"/>
        </w:rPr>
        <w:lastRenderedPageBreak/>
        <w:t>directly by schools and supported by the VI service. Just 8% are employed directly by schools with no support from the VI service.</w:t>
      </w:r>
    </w:p>
    <w:p w14:paraId="349E68FE" w14:textId="3C2EA84C" w:rsidR="00CA5AB5" w:rsidRDefault="00CA5AB5" w:rsidP="00405E26">
      <w:pPr>
        <w:rPr>
          <w:lang w:eastAsia="en-GB"/>
        </w:rPr>
      </w:pPr>
    </w:p>
    <w:p w14:paraId="64FB4526" w14:textId="66F11FDF" w:rsidR="00CA5AB5" w:rsidRPr="00405E26" w:rsidRDefault="00CA5AB5" w:rsidP="00405E26">
      <w:pPr>
        <w:rPr>
          <w:lang w:eastAsia="en-GB"/>
        </w:rPr>
      </w:pPr>
      <w:r>
        <w:rPr>
          <w:lang w:eastAsia="en-GB"/>
        </w:rPr>
        <w:t>O</w:t>
      </w:r>
      <w:r w:rsidRPr="00405E26">
        <w:rPr>
          <w:lang w:eastAsia="en-GB"/>
        </w:rPr>
        <w:t>f the 147 local authorities</w:t>
      </w:r>
      <w:r>
        <w:rPr>
          <w:lang w:eastAsia="en-GB"/>
        </w:rPr>
        <w:t>, 46%</w:t>
      </w:r>
      <w:r w:rsidRPr="00405E26">
        <w:rPr>
          <w:lang w:eastAsia="en-GB"/>
        </w:rPr>
        <w:t xml:space="preserve"> recorded a decrease in the number of TA posts </w:t>
      </w:r>
      <w:r>
        <w:rPr>
          <w:lang w:eastAsia="en-GB"/>
        </w:rPr>
        <w:t>over the past two years</w:t>
      </w:r>
      <w:r w:rsidRPr="00405E26">
        <w:rPr>
          <w:lang w:eastAsia="en-GB"/>
        </w:rPr>
        <w:t>. 3</w:t>
      </w:r>
      <w:r w:rsidR="00CF03B1">
        <w:rPr>
          <w:lang w:eastAsia="en-GB"/>
        </w:rPr>
        <w:t>4</w:t>
      </w:r>
      <w:r w:rsidRPr="00405E26">
        <w:rPr>
          <w:lang w:eastAsia="en-GB"/>
        </w:rPr>
        <w:t xml:space="preserve">% recorded an increase in the number of TA posts, while </w:t>
      </w:r>
      <w:r w:rsidR="00DA07ED">
        <w:rPr>
          <w:lang w:eastAsia="en-GB"/>
        </w:rPr>
        <w:t>20</w:t>
      </w:r>
      <w:r w:rsidRPr="00405E26">
        <w:rPr>
          <w:lang w:eastAsia="en-GB"/>
        </w:rPr>
        <w:t xml:space="preserve">% recorded </w:t>
      </w:r>
      <w:r>
        <w:rPr>
          <w:lang w:eastAsia="en-GB"/>
        </w:rPr>
        <w:t>no change.</w:t>
      </w:r>
    </w:p>
    <w:p w14:paraId="18C9EFA5" w14:textId="77777777" w:rsidR="00405E26" w:rsidRPr="00405E26" w:rsidRDefault="00405E26" w:rsidP="00405E26">
      <w:pPr>
        <w:rPr>
          <w:lang w:eastAsia="en-GB"/>
        </w:rPr>
      </w:pPr>
    </w:p>
    <w:p w14:paraId="4BABE06D" w14:textId="52CBCF43" w:rsidR="00FA73BB" w:rsidRDefault="00405E26" w:rsidP="00405E26">
      <w:pPr>
        <w:rPr>
          <w:lang w:eastAsia="en-GB"/>
        </w:rPr>
      </w:pPr>
      <w:r w:rsidRPr="00405E26">
        <w:rPr>
          <w:lang w:eastAsia="en-GB"/>
        </w:rPr>
        <w:t xml:space="preserve">There are likely to be </w:t>
      </w:r>
      <w:proofErr w:type="gramStart"/>
      <w:r w:rsidRPr="00405E26">
        <w:rPr>
          <w:lang w:eastAsia="en-GB"/>
        </w:rPr>
        <w:t>a number of</w:t>
      </w:r>
      <w:proofErr w:type="gramEnd"/>
      <w:r w:rsidRPr="00405E26">
        <w:rPr>
          <w:lang w:eastAsia="en-GB"/>
        </w:rPr>
        <w:t xml:space="preserve"> TAs employed by schools that the local authorities surveyed were not aware of. </w:t>
      </w:r>
      <w:r w:rsidR="00FA73BB">
        <w:rPr>
          <w:lang w:eastAsia="en-GB"/>
        </w:rPr>
        <w:t xml:space="preserve">In fact, in 2015 a similar survey of local authorities found over 2,700 TAs employed that the </w:t>
      </w:r>
      <w:r w:rsidR="000563C6">
        <w:rPr>
          <w:lang w:eastAsia="en-GB"/>
        </w:rPr>
        <w:t>vision</w:t>
      </w:r>
      <w:r w:rsidR="00FA73BB">
        <w:rPr>
          <w:lang w:eastAsia="en-GB"/>
        </w:rPr>
        <w:t xml:space="preserve"> impairment education services were aware of. </w:t>
      </w:r>
    </w:p>
    <w:p w14:paraId="3846AA63" w14:textId="77777777" w:rsidR="00FA73BB" w:rsidRDefault="00FA73BB" w:rsidP="00405E26">
      <w:pPr>
        <w:rPr>
          <w:lang w:eastAsia="en-GB"/>
        </w:rPr>
      </w:pPr>
    </w:p>
    <w:p w14:paraId="15FB59BF" w14:textId="59D1C3D5" w:rsidR="00405E26" w:rsidRPr="00405E26" w:rsidRDefault="00405E26" w:rsidP="00405E26">
      <w:pPr>
        <w:rPr>
          <w:lang w:eastAsia="en-GB"/>
        </w:rPr>
      </w:pPr>
      <w:r w:rsidRPr="00405E26">
        <w:rPr>
          <w:lang w:eastAsia="en-GB"/>
        </w:rPr>
        <w:t>As such, the number of TAs and their employment arrangements are an estimate and not an exact figure. Of the 147 local authorities that responded to the FOI request, 72 stated that they are aware of other TAs that the VI service does not hold information on, including TAs employed by schools. The actual number of TAs employed directly by schools is likely to be</w:t>
      </w:r>
      <w:r w:rsidR="00FA73BB">
        <w:rPr>
          <w:lang w:eastAsia="en-GB"/>
        </w:rPr>
        <w:t xml:space="preserve"> much</w:t>
      </w:r>
      <w:r w:rsidRPr="00405E26">
        <w:rPr>
          <w:lang w:eastAsia="en-GB"/>
        </w:rPr>
        <w:t xml:space="preserve"> higher than our estimates.</w:t>
      </w:r>
      <w:r w:rsidR="00FA73BB">
        <w:rPr>
          <w:lang w:eastAsia="en-GB"/>
        </w:rPr>
        <w:t xml:space="preserve"> With a lack of data, it is not clear whether there has been any change in TA numbers in recent years.</w:t>
      </w:r>
    </w:p>
    <w:p w14:paraId="5BC47F69" w14:textId="77777777" w:rsidR="00A02ADB" w:rsidRDefault="00A02ADB" w:rsidP="00A02ADB">
      <w:pPr>
        <w:rPr>
          <w:b/>
          <w:lang w:eastAsia="en-GB"/>
        </w:rPr>
      </w:pPr>
    </w:p>
    <w:p w14:paraId="1C58CCEB" w14:textId="4F6718E2" w:rsidR="00A02ADB" w:rsidRDefault="00A02ADB" w:rsidP="00584DDF">
      <w:pPr>
        <w:pStyle w:val="Heading3"/>
        <w:rPr>
          <w:lang w:eastAsia="en-GB"/>
        </w:rPr>
      </w:pPr>
      <w:r>
        <w:rPr>
          <w:lang w:eastAsia="en-GB"/>
        </w:rPr>
        <w:t>Habilitation</w:t>
      </w:r>
    </w:p>
    <w:p w14:paraId="71476891" w14:textId="2D018A34" w:rsidR="00AC0FFB" w:rsidRDefault="009910F5" w:rsidP="00584DDF">
      <w:pPr>
        <w:rPr>
          <w:lang w:eastAsia="en-GB"/>
        </w:rPr>
      </w:pPr>
      <w:r>
        <w:rPr>
          <w:lang w:eastAsia="en-GB"/>
        </w:rPr>
        <w:t xml:space="preserve">In </w:t>
      </w:r>
      <w:r w:rsidR="00C63FE0">
        <w:rPr>
          <w:lang w:eastAsia="en-GB"/>
        </w:rPr>
        <w:t>summer</w:t>
      </w:r>
      <w:r w:rsidR="00793B20">
        <w:rPr>
          <w:lang w:eastAsia="en-GB"/>
        </w:rPr>
        <w:t xml:space="preserve"> 2019, </w:t>
      </w:r>
      <w:r w:rsidR="00303961">
        <w:rPr>
          <w:lang w:eastAsia="en-GB"/>
        </w:rPr>
        <w:t xml:space="preserve">Thomas Pocklington Trust issued a FOI request </w:t>
      </w:r>
      <w:r w:rsidR="00C63FE0">
        <w:rPr>
          <w:lang w:eastAsia="en-GB"/>
        </w:rPr>
        <w:t>to</w:t>
      </w:r>
      <w:r w:rsidR="00303961">
        <w:rPr>
          <w:lang w:eastAsia="en-GB"/>
        </w:rPr>
        <w:t xml:space="preserve"> local authorities to </w:t>
      </w:r>
      <w:r w:rsidR="00C63FE0">
        <w:rPr>
          <w:lang w:eastAsia="en-GB"/>
        </w:rPr>
        <w:t>collect information on habilitation provision for children and young people with vision impairment.</w:t>
      </w:r>
      <w:r w:rsidR="002C21D9">
        <w:rPr>
          <w:lang w:eastAsia="en-GB"/>
        </w:rPr>
        <w:t xml:space="preserve"> </w:t>
      </w:r>
      <w:r w:rsidR="00065569" w:rsidRPr="00065569">
        <w:rPr>
          <w:lang w:eastAsia="en-GB"/>
        </w:rPr>
        <w:t xml:space="preserve">Thomas Pocklington Trust and Vision UK will be releasing the findings in </w:t>
      </w:r>
      <w:r w:rsidR="00007A1F">
        <w:rPr>
          <w:lang w:eastAsia="en-GB"/>
        </w:rPr>
        <w:t>autumn 2019</w:t>
      </w:r>
      <w:r w:rsidR="009265EE">
        <w:rPr>
          <w:lang w:eastAsia="en-GB"/>
        </w:rPr>
        <w:t>.</w:t>
      </w:r>
    </w:p>
    <w:p w14:paraId="0EE75348" w14:textId="77777777" w:rsidR="00D5045C" w:rsidRDefault="00D5045C" w:rsidP="00584DDF">
      <w:pPr>
        <w:rPr>
          <w:lang w:eastAsia="en-GB"/>
        </w:rPr>
      </w:pPr>
    </w:p>
    <w:p w14:paraId="696D0E75" w14:textId="77777777" w:rsidR="00833982" w:rsidRDefault="00833982" w:rsidP="002442AF">
      <w:pPr>
        <w:pStyle w:val="Heading2"/>
        <w:rPr>
          <w:lang w:eastAsia="en-GB"/>
        </w:rPr>
      </w:pPr>
      <w:bookmarkStart w:id="24" w:name="_Toc19300783"/>
      <w:r>
        <w:rPr>
          <w:lang w:eastAsia="en-GB"/>
        </w:rPr>
        <w:t>4.</w:t>
      </w:r>
      <w:r w:rsidR="002442AF">
        <w:rPr>
          <w:lang w:eastAsia="en-GB"/>
        </w:rPr>
        <w:t>4</w:t>
      </w:r>
      <w:r>
        <w:rPr>
          <w:lang w:eastAsia="en-GB"/>
        </w:rPr>
        <w:t xml:space="preserve"> Redress and registers</w:t>
      </w:r>
      <w:bookmarkEnd w:id="24"/>
    </w:p>
    <w:p w14:paraId="17D08096" w14:textId="4BAD81F1" w:rsidR="00833982" w:rsidRDefault="002442AF" w:rsidP="00833982">
      <w:pPr>
        <w:rPr>
          <w:lang w:eastAsia="en-GB"/>
        </w:rPr>
      </w:pPr>
      <w:r>
        <w:rPr>
          <w:lang w:eastAsia="en-GB"/>
        </w:rPr>
        <w:t>We</w:t>
      </w:r>
      <w:r w:rsidR="00DC7200">
        <w:rPr>
          <w:lang w:eastAsia="en-GB"/>
        </w:rPr>
        <w:t xml:space="preserve"> asked </w:t>
      </w:r>
      <w:r>
        <w:rPr>
          <w:lang w:eastAsia="en-GB"/>
        </w:rPr>
        <w:t xml:space="preserve">services </w:t>
      </w:r>
      <w:r w:rsidR="00DC7200">
        <w:rPr>
          <w:lang w:eastAsia="en-GB"/>
        </w:rPr>
        <w:t>about the number of</w:t>
      </w:r>
      <w:r w:rsidR="00DC7200" w:rsidRPr="00DC7200">
        <w:rPr>
          <w:lang w:eastAsia="en-GB"/>
        </w:rPr>
        <w:t xml:space="preserve"> complaints </w:t>
      </w:r>
      <w:r>
        <w:rPr>
          <w:lang w:eastAsia="en-GB"/>
        </w:rPr>
        <w:t>relating to</w:t>
      </w:r>
      <w:r w:rsidR="00DC7200" w:rsidRPr="00DC7200">
        <w:rPr>
          <w:lang w:eastAsia="en-GB"/>
        </w:rPr>
        <w:t xml:space="preserve"> the VI service </w:t>
      </w:r>
      <w:r>
        <w:rPr>
          <w:lang w:eastAsia="en-GB"/>
        </w:rPr>
        <w:t>entering</w:t>
      </w:r>
      <w:r w:rsidR="00DC7200" w:rsidRPr="00DC7200">
        <w:rPr>
          <w:lang w:eastAsia="en-GB"/>
        </w:rPr>
        <w:t xml:space="preserve"> the local authority’s formal complaints process</w:t>
      </w:r>
      <w:r w:rsidR="00124C99">
        <w:rPr>
          <w:lang w:eastAsia="en-GB"/>
        </w:rPr>
        <w:t>.</w:t>
      </w:r>
      <w:r>
        <w:rPr>
          <w:lang w:eastAsia="en-GB"/>
        </w:rPr>
        <w:t xml:space="preserve"> Almost all authorities had no complaints to note, with just seven authorities stating a complaint had been raised.</w:t>
      </w:r>
    </w:p>
    <w:p w14:paraId="34E1CB6A" w14:textId="77777777" w:rsidR="002442AF" w:rsidRDefault="002442AF" w:rsidP="00833982">
      <w:pPr>
        <w:rPr>
          <w:lang w:eastAsia="en-GB"/>
        </w:rPr>
      </w:pPr>
    </w:p>
    <w:p w14:paraId="554581F1" w14:textId="4E8B6834" w:rsidR="002442AF" w:rsidRDefault="002442AF" w:rsidP="00833982">
      <w:pPr>
        <w:rPr>
          <w:lang w:eastAsia="en-GB"/>
        </w:rPr>
      </w:pPr>
      <w:r>
        <w:rPr>
          <w:lang w:eastAsia="en-GB"/>
        </w:rPr>
        <w:t>Authorities were also asked who</w:t>
      </w:r>
      <w:r w:rsidRPr="002442AF">
        <w:rPr>
          <w:lang w:eastAsia="en-GB"/>
        </w:rPr>
        <w:t xml:space="preserve"> in the </w:t>
      </w:r>
      <w:r>
        <w:rPr>
          <w:lang w:eastAsia="en-GB"/>
        </w:rPr>
        <w:t>organisation</w:t>
      </w:r>
      <w:r w:rsidRPr="002442AF">
        <w:rPr>
          <w:lang w:eastAsia="en-GB"/>
        </w:rPr>
        <w:t xml:space="preserve"> holds the</w:t>
      </w:r>
      <w:r w:rsidRPr="002442AF" w:rsidDel="00FD4364">
        <w:rPr>
          <w:lang w:eastAsia="en-GB"/>
        </w:rPr>
        <w:t xml:space="preserve"> </w:t>
      </w:r>
      <w:r w:rsidRPr="002442AF">
        <w:rPr>
          <w:lang w:eastAsia="en-GB"/>
        </w:rPr>
        <w:t xml:space="preserve">register for </w:t>
      </w:r>
      <w:r>
        <w:rPr>
          <w:lang w:eastAsia="en-GB"/>
        </w:rPr>
        <w:t>CYP</w:t>
      </w:r>
      <w:r w:rsidRPr="002442AF">
        <w:rPr>
          <w:lang w:eastAsia="en-GB"/>
        </w:rPr>
        <w:t xml:space="preserve"> who </w:t>
      </w:r>
      <w:proofErr w:type="gramStart"/>
      <w:r w:rsidRPr="002442AF">
        <w:rPr>
          <w:lang w:eastAsia="en-GB"/>
        </w:rPr>
        <w:t>are registered sight</w:t>
      </w:r>
      <w:proofErr w:type="gramEnd"/>
      <w:r w:rsidRPr="002442AF">
        <w:rPr>
          <w:lang w:eastAsia="en-GB"/>
        </w:rPr>
        <w:t xml:space="preserve"> impaired or severely sight impaired</w:t>
      </w:r>
      <w:r>
        <w:rPr>
          <w:lang w:eastAsia="en-GB"/>
        </w:rPr>
        <w:t>. In 43% of authorities, the register was h</w:t>
      </w:r>
      <w:r w:rsidR="00124C99">
        <w:rPr>
          <w:lang w:eastAsia="en-GB"/>
        </w:rPr>
        <w:t>e</w:t>
      </w:r>
      <w:r>
        <w:rPr>
          <w:lang w:eastAsia="en-GB"/>
        </w:rPr>
        <w:t xml:space="preserve">ld by the </w:t>
      </w:r>
      <w:r w:rsidR="009C70C1">
        <w:rPr>
          <w:lang w:eastAsia="en-GB"/>
        </w:rPr>
        <w:t xml:space="preserve">adult </w:t>
      </w:r>
      <w:r>
        <w:rPr>
          <w:lang w:eastAsia="en-GB"/>
        </w:rPr>
        <w:t xml:space="preserve">social care sensory team. In 23% of authorities, the register was held by the social care children’s team. Across 7%, a local </w:t>
      </w:r>
      <w:r w:rsidR="00614425">
        <w:rPr>
          <w:lang w:eastAsia="en-GB"/>
        </w:rPr>
        <w:t>vision impairment</w:t>
      </w:r>
      <w:r w:rsidR="00234908">
        <w:rPr>
          <w:lang w:eastAsia="en-GB"/>
        </w:rPr>
        <w:t xml:space="preserve"> society</w:t>
      </w:r>
      <w:r w:rsidR="00FD4364">
        <w:rPr>
          <w:lang w:eastAsia="en-GB"/>
        </w:rPr>
        <w:t>/organisation</w:t>
      </w:r>
      <w:r w:rsidR="00234908">
        <w:rPr>
          <w:lang w:eastAsia="en-GB"/>
        </w:rPr>
        <w:t xml:space="preserve"> </w:t>
      </w:r>
      <w:r>
        <w:rPr>
          <w:lang w:eastAsia="en-GB"/>
        </w:rPr>
        <w:t xml:space="preserve">held the register. The remaining 27% </w:t>
      </w:r>
      <w:r w:rsidR="009365C0">
        <w:rPr>
          <w:lang w:eastAsia="en-GB"/>
        </w:rPr>
        <w:t>named</w:t>
      </w:r>
      <w:r>
        <w:rPr>
          <w:lang w:eastAsia="en-GB"/>
        </w:rPr>
        <w:t xml:space="preserve"> different </w:t>
      </w:r>
      <w:r w:rsidR="009365C0">
        <w:rPr>
          <w:lang w:eastAsia="en-GB"/>
        </w:rPr>
        <w:t>teams</w:t>
      </w:r>
      <w:r>
        <w:rPr>
          <w:lang w:eastAsia="en-GB"/>
        </w:rPr>
        <w:t>, most commonly adult social care or other similar teams within the local authority.</w:t>
      </w:r>
      <w:r w:rsidR="004163EC">
        <w:rPr>
          <w:lang w:eastAsia="en-GB"/>
        </w:rPr>
        <w:t xml:space="preserve"> </w:t>
      </w:r>
      <w:r w:rsidR="00FE45B0">
        <w:rPr>
          <w:lang w:eastAsia="en-GB"/>
        </w:rPr>
        <w:t xml:space="preserve">The lack of consistency in </w:t>
      </w:r>
      <w:r w:rsidR="00EA6DE5">
        <w:rPr>
          <w:lang w:eastAsia="en-GB"/>
        </w:rPr>
        <w:t xml:space="preserve">where responsibility for </w:t>
      </w:r>
      <w:r w:rsidR="009A0CAB">
        <w:rPr>
          <w:lang w:eastAsia="en-GB"/>
        </w:rPr>
        <w:t xml:space="preserve">holding the register lies raises questions </w:t>
      </w:r>
      <w:r w:rsidR="00F90CA8">
        <w:rPr>
          <w:lang w:eastAsia="en-GB"/>
        </w:rPr>
        <w:t xml:space="preserve">about </w:t>
      </w:r>
      <w:r w:rsidR="00C754CA">
        <w:rPr>
          <w:lang w:eastAsia="en-GB"/>
        </w:rPr>
        <w:t xml:space="preserve">whether the data is </w:t>
      </w:r>
      <w:r w:rsidR="00C754CA">
        <w:rPr>
          <w:lang w:eastAsia="en-GB"/>
        </w:rPr>
        <w:lastRenderedPageBreak/>
        <w:t xml:space="preserve">maintained consistently across local authorities. It could also </w:t>
      </w:r>
      <w:r w:rsidR="009E5697">
        <w:rPr>
          <w:lang w:eastAsia="en-GB"/>
        </w:rPr>
        <w:t>lead to difficulties in extracting the data and reporting consistently at a national level</w:t>
      </w:r>
      <w:r w:rsidR="00E8521D">
        <w:rPr>
          <w:lang w:eastAsia="en-GB"/>
        </w:rPr>
        <w:t xml:space="preserve"> in the </w:t>
      </w:r>
      <w:r w:rsidR="000670EA">
        <w:rPr>
          <w:lang w:eastAsia="en-GB"/>
        </w:rPr>
        <w:t>tri-annual publication of registers of blind and partially sighted people by NHS Digital (NHS Digital, 2017).</w:t>
      </w:r>
    </w:p>
    <w:p w14:paraId="6696CB9F" w14:textId="77777777" w:rsidR="00833982" w:rsidRDefault="00833982" w:rsidP="00584DDF">
      <w:pPr>
        <w:rPr>
          <w:lang w:eastAsia="en-GB"/>
        </w:rPr>
      </w:pPr>
    </w:p>
    <w:p w14:paraId="420E8122" w14:textId="77777777" w:rsidR="00F64C41" w:rsidRDefault="00AC3343" w:rsidP="00494C68">
      <w:pPr>
        <w:pStyle w:val="Heading1"/>
        <w:rPr>
          <w:lang w:eastAsia="en-GB"/>
        </w:rPr>
      </w:pPr>
      <w:bookmarkStart w:id="25" w:name="_Toc19300784"/>
      <w:r>
        <w:rPr>
          <w:lang w:eastAsia="en-GB"/>
        </w:rPr>
        <w:t xml:space="preserve">5. </w:t>
      </w:r>
      <w:r w:rsidR="00F64C41">
        <w:rPr>
          <w:lang w:eastAsia="en-GB"/>
        </w:rPr>
        <w:t>Conclusion</w:t>
      </w:r>
      <w:bookmarkEnd w:id="25"/>
    </w:p>
    <w:p w14:paraId="737667DF" w14:textId="1E4BF0F4" w:rsidR="00115DFF" w:rsidRDefault="00297F11" w:rsidP="00BF58DD">
      <w:pPr>
        <w:rPr>
          <w:rFonts w:cs="Arial"/>
          <w:color w:val="000000"/>
          <w:szCs w:val="28"/>
          <w:shd w:val="clear" w:color="auto" w:fill="FFFFFF"/>
        </w:rPr>
      </w:pPr>
      <w:r w:rsidRPr="00297F11">
        <w:rPr>
          <w:rFonts w:ascii="Times" w:hAnsi="Times"/>
          <w:sz w:val="20"/>
        </w:rPr>
        <w:br/>
      </w:r>
      <w:r w:rsidR="004E4BBB">
        <w:rPr>
          <w:rFonts w:cs="Arial"/>
          <w:color w:val="000000"/>
          <w:szCs w:val="28"/>
          <w:shd w:val="clear" w:color="auto" w:fill="FFFFFF"/>
        </w:rPr>
        <w:t>C</w:t>
      </w:r>
      <w:r w:rsidRPr="00493E77">
        <w:rPr>
          <w:rFonts w:cs="Arial"/>
          <w:color w:val="000000"/>
          <w:szCs w:val="28"/>
          <w:shd w:val="clear" w:color="auto" w:fill="FFFFFF"/>
        </w:rPr>
        <w:t xml:space="preserve">hildren and young people with VI require a high level of specialist provision to learn on equal terms with sighted children. Having the right support in place can remove the barriers to learning and enable them to develop the specialist skills they need to succeed not just at school but as adults with full lives. However, whilst this research has identified pockets of good practice, overall, the findings show a system of specialist provision under significant pressure. </w:t>
      </w:r>
    </w:p>
    <w:p w14:paraId="497F919B" w14:textId="77777777" w:rsidR="00115DFF" w:rsidRDefault="00115DFF" w:rsidP="00BF58DD">
      <w:pPr>
        <w:rPr>
          <w:rFonts w:cs="Arial"/>
          <w:color w:val="000000"/>
          <w:szCs w:val="28"/>
          <w:shd w:val="clear" w:color="auto" w:fill="FFFFFF"/>
        </w:rPr>
      </w:pPr>
    </w:p>
    <w:p w14:paraId="46CBBF5F" w14:textId="4EF0B47F" w:rsidR="00BF58DD" w:rsidRPr="00851E51" w:rsidRDefault="00297F11" w:rsidP="00BF58DD">
      <w:pPr>
        <w:rPr>
          <w:rFonts w:cs="Arial"/>
          <w:color w:val="000000"/>
          <w:szCs w:val="28"/>
          <w:shd w:val="clear" w:color="auto" w:fill="FFFFFF"/>
        </w:rPr>
      </w:pPr>
      <w:r w:rsidRPr="00493E77">
        <w:rPr>
          <w:rFonts w:cs="Arial"/>
          <w:color w:val="000000"/>
          <w:szCs w:val="28"/>
          <w:shd w:val="clear" w:color="auto" w:fill="FFFFFF"/>
        </w:rPr>
        <w:t>Despite more children and young people accessing specialist provision, QTVI roles have been lost and caseloads have increased. VI service budgets are being stretched</w:t>
      </w:r>
      <w:r w:rsidR="00851E51" w:rsidRPr="00493E77">
        <w:rPr>
          <w:rFonts w:cs="Arial"/>
          <w:color w:val="000000"/>
          <w:szCs w:val="28"/>
          <w:shd w:val="clear" w:color="auto" w:fill="FFFFFF"/>
        </w:rPr>
        <w:t xml:space="preserve">; </w:t>
      </w:r>
      <w:r w:rsidRPr="00493E77">
        <w:rPr>
          <w:rFonts w:cs="Arial"/>
          <w:color w:val="000000"/>
          <w:szCs w:val="28"/>
          <w:shd w:val="clear" w:color="auto" w:fill="FFFFFF"/>
        </w:rPr>
        <w:t>just under half of local authorities hav</w:t>
      </w:r>
      <w:r w:rsidR="00851E51" w:rsidRPr="00493E77">
        <w:rPr>
          <w:rFonts w:cs="Arial"/>
          <w:color w:val="000000"/>
          <w:szCs w:val="28"/>
          <w:shd w:val="clear" w:color="auto" w:fill="FFFFFF"/>
        </w:rPr>
        <w:t>e</w:t>
      </w:r>
      <w:r w:rsidR="00BF58DD" w:rsidRPr="00493E77">
        <w:rPr>
          <w:rFonts w:cs="Arial"/>
          <w:color w:val="000000"/>
          <w:szCs w:val="28"/>
          <w:shd w:val="clear" w:color="auto" w:fill="FFFFFF"/>
        </w:rPr>
        <w:t xml:space="preserve"> cut or frozen their budgets over the last two years</w:t>
      </w:r>
      <w:r w:rsidRPr="00493E77">
        <w:rPr>
          <w:rFonts w:cs="Arial"/>
          <w:color w:val="000000"/>
          <w:szCs w:val="28"/>
          <w:shd w:val="clear" w:color="auto" w:fill="FFFFFF"/>
        </w:rPr>
        <w:t xml:space="preserve">. The effect of this </w:t>
      </w:r>
      <w:r w:rsidR="00311AAF">
        <w:rPr>
          <w:rFonts w:cs="Arial"/>
          <w:color w:val="000000"/>
          <w:szCs w:val="28"/>
          <w:shd w:val="clear" w:color="auto" w:fill="FFFFFF"/>
        </w:rPr>
        <w:t xml:space="preserve">is </w:t>
      </w:r>
      <w:r w:rsidRPr="00493E77">
        <w:rPr>
          <w:rFonts w:cs="Arial"/>
          <w:color w:val="000000"/>
          <w:szCs w:val="28"/>
          <w:shd w:val="clear" w:color="auto" w:fill="FFFFFF"/>
        </w:rPr>
        <w:t>reduced staffing or reduced support, impacting the education of children, which can potentially cause longer-term impacts in later life (</w:t>
      </w:r>
      <w:r w:rsidR="00577CF0" w:rsidRPr="00577CF0">
        <w:rPr>
          <w:rFonts w:cs="Arial"/>
          <w:szCs w:val="28"/>
          <w:shd w:val="clear" w:color="auto" w:fill="FFFFFF"/>
        </w:rPr>
        <w:t>RNIB, 2016</w:t>
      </w:r>
      <w:r w:rsidRPr="00493E77">
        <w:rPr>
          <w:rFonts w:cs="Arial"/>
          <w:color w:val="000000"/>
          <w:szCs w:val="28"/>
          <w:shd w:val="clear" w:color="auto" w:fill="FFFFFF"/>
        </w:rPr>
        <w:t xml:space="preserve">). </w:t>
      </w:r>
      <w:r w:rsidR="004D7368" w:rsidRPr="00851E51">
        <w:rPr>
          <w:rFonts w:cs="Arial"/>
          <w:color w:val="000000"/>
          <w:szCs w:val="28"/>
        </w:rPr>
        <w:t>There could also be further cuts in the pipeline with a quarter of LAs reporting there are current or proposed reviews of the VI service that will affect the way it is organised, managed or funded.</w:t>
      </w:r>
      <w:r w:rsidR="00BF58DD" w:rsidRPr="00851E51">
        <w:rPr>
          <w:rFonts w:cs="Arial"/>
          <w:color w:val="000000"/>
          <w:szCs w:val="28"/>
        </w:rPr>
        <w:t xml:space="preserve"> It is also extremely concerning that</w:t>
      </w:r>
      <w:r w:rsidR="00BF58DD" w:rsidRPr="00851E51">
        <w:rPr>
          <w:rFonts w:cs="Arial"/>
          <w:szCs w:val="28"/>
        </w:rPr>
        <w:t xml:space="preserve"> </w:t>
      </w:r>
      <w:r w:rsidR="00851E51" w:rsidRPr="00851E51">
        <w:rPr>
          <w:rFonts w:cs="Arial"/>
          <w:szCs w:val="28"/>
        </w:rPr>
        <w:t xml:space="preserve">in some </w:t>
      </w:r>
      <w:proofErr w:type="gramStart"/>
      <w:r w:rsidR="00851E51" w:rsidRPr="00851E51">
        <w:rPr>
          <w:rFonts w:cs="Arial"/>
          <w:szCs w:val="28"/>
        </w:rPr>
        <w:t>authorities</w:t>
      </w:r>
      <w:proofErr w:type="gramEnd"/>
      <w:r w:rsidR="00851E51" w:rsidRPr="00851E51">
        <w:rPr>
          <w:rFonts w:cs="Arial"/>
          <w:szCs w:val="28"/>
        </w:rPr>
        <w:t xml:space="preserve"> </w:t>
      </w:r>
      <w:r w:rsidR="00BF58DD" w:rsidRPr="00851E51">
        <w:rPr>
          <w:rFonts w:cs="Arial"/>
          <w:szCs w:val="28"/>
        </w:rPr>
        <w:t>young people above the age of 16 are still not offered support in line with the entitlements set out in the SEN</w:t>
      </w:r>
      <w:r w:rsidR="004477DD">
        <w:rPr>
          <w:rFonts w:cs="Arial"/>
          <w:szCs w:val="28"/>
        </w:rPr>
        <w:t>D</w:t>
      </w:r>
      <w:r w:rsidR="00BF58DD" w:rsidRPr="00851E51">
        <w:rPr>
          <w:rFonts w:cs="Arial"/>
          <w:szCs w:val="28"/>
        </w:rPr>
        <w:t xml:space="preserve"> Code of Practice.</w:t>
      </w:r>
      <w:r w:rsidR="00BF58DD" w:rsidRPr="00E721E6">
        <w:rPr>
          <w:rFonts w:cs="Arial"/>
          <w:szCs w:val="28"/>
        </w:rPr>
        <w:t xml:space="preserve"> </w:t>
      </w:r>
    </w:p>
    <w:p w14:paraId="5E00EE24" w14:textId="77777777" w:rsidR="00BF58DD" w:rsidRPr="00851E51" w:rsidRDefault="00BF58DD" w:rsidP="00297F11">
      <w:pPr>
        <w:rPr>
          <w:rFonts w:cs="Arial"/>
          <w:color w:val="000000"/>
          <w:szCs w:val="28"/>
          <w:shd w:val="clear" w:color="auto" w:fill="FFFFFF"/>
        </w:rPr>
      </w:pPr>
    </w:p>
    <w:p w14:paraId="77A8D06C" w14:textId="02232F6F" w:rsidR="00BF58DD" w:rsidRPr="00851E51" w:rsidRDefault="00851E51" w:rsidP="00297F11">
      <w:pPr>
        <w:rPr>
          <w:rFonts w:cs="Arial"/>
          <w:color w:val="000000"/>
          <w:szCs w:val="28"/>
          <w:shd w:val="clear" w:color="auto" w:fill="FFFFFF"/>
        </w:rPr>
      </w:pPr>
      <w:r w:rsidRPr="00851E51">
        <w:rPr>
          <w:rFonts w:cs="Arial"/>
          <w:color w:val="000000"/>
          <w:szCs w:val="28"/>
          <w:shd w:val="clear" w:color="auto" w:fill="FFFFFF"/>
        </w:rPr>
        <w:t xml:space="preserve">The variation in service structures, practices and budgets across local authorities </w:t>
      </w:r>
      <w:r>
        <w:rPr>
          <w:rFonts w:cs="Arial"/>
          <w:color w:val="000000"/>
          <w:szCs w:val="28"/>
          <w:shd w:val="clear" w:color="auto" w:fill="FFFFFF"/>
        </w:rPr>
        <w:t>presented in this</w:t>
      </w:r>
      <w:r w:rsidRPr="00851E51">
        <w:rPr>
          <w:rFonts w:cs="Arial"/>
          <w:color w:val="000000"/>
          <w:szCs w:val="28"/>
          <w:shd w:val="clear" w:color="auto" w:fill="FFFFFF"/>
        </w:rPr>
        <w:t xml:space="preserve"> report, point to a</w:t>
      </w:r>
      <w:r w:rsidR="00297F11" w:rsidRPr="00851E51">
        <w:rPr>
          <w:rFonts w:cs="Arial"/>
          <w:color w:val="000000"/>
          <w:szCs w:val="28"/>
          <w:shd w:val="clear" w:color="auto" w:fill="FFFFFF"/>
        </w:rPr>
        <w:t xml:space="preserve"> postcode lottery leading to some children and young people not receiving the support they vitally need to participate in education and all the opportunities childhood has to offer and fulfil their potential in life.</w:t>
      </w:r>
      <w:r w:rsidRPr="00851E51">
        <w:rPr>
          <w:rFonts w:cs="Arial"/>
          <w:color w:val="000000"/>
          <w:szCs w:val="28"/>
          <w:shd w:val="clear" w:color="auto" w:fill="FFFFFF"/>
        </w:rPr>
        <w:t xml:space="preserve"> </w:t>
      </w:r>
    </w:p>
    <w:p w14:paraId="0669B0F9" w14:textId="77777777" w:rsidR="00F64C41" w:rsidRPr="009E7F4D" w:rsidRDefault="00F64C41" w:rsidP="00584DDF">
      <w:pPr>
        <w:rPr>
          <w:lang w:eastAsia="en-GB"/>
        </w:rPr>
      </w:pPr>
    </w:p>
    <w:p w14:paraId="4DE9B1F6" w14:textId="77777777" w:rsidR="00956894" w:rsidRDefault="00956894">
      <w:pPr>
        <w:rPr>
          <w:b/>
          <w:kern w:val="32"/>
          <w:sz w:val="44"/>
          <w:lang w:eastAsia="en-GB"/>
        </w:rPr>
      </w:pPr>
      <w:bookmarkStart w:id="26" w:name="_Toc19300785"/>
      <w:r>
        <w:rPr>
          <w:lang w:eastAsia="en-GB"/>
        </w:rPr>
        <w:br w:type="page"/>
      </w:r>
    </w:p>
    <w:p w14:paraId="1FB6F5E2" w14:textId="3AC5B626" w:rsidR="00A02ADB" w:rsidRPr="000C6983" w:rsidRDefault="00AC3343" w:rsidP="00494C68">
      <w:pPr>
        <w:pStyle w:val="Heading1"/>
        <w:rPr>
          <w:lang w:eastAsia="en-GB"/>
        </w:rPr>
      </w:pPr>
      <w:r>
        <w:rPr>
          <w:lang w:eastAsia="en-GB"/>
        </w:rPr>
        <w:lastRenderedPageBreak/>
        <w:t xml:space="preserve">6. </w:t>
      </w:r>
      <w:r w:rsidR="00A02ADB" w:rsidRPr="000C6983">
        <w:rPr>
          <w:lang w:eastAsia="en-GB"/>
        </w:rPr>
        <w:t>References</w:t>
      </w:r>
      <w:bookmarkEnd w:id="26"/>
    </w:p>
    <w:p w14:paraId="32460FB3" w14:textId="77777777" w:rsidR="008703E1" w:rsidRDefault="008703E1" w:rsidP="008703E1">
      <w:pPr>
        <w:rPr>
          <w:lang w:eastAsia="en-GB"/>
        </w:rPr>
      </w:pPr>
      <w:r>
        <w:rPr>
          <w:lang w:eastAsia="en-GB"/>
        </w:rPr>
        <w:t>Department for Education (2019)</w:t>
      </w:r>
      <w:r w:rsidRPr="006338A1">
        <w:t xml:space="preserve"> </w:t>
      </w:r>
      <w:r w:rsidRPr="006338A1">
        <w:rPr>
          <w:lang w:eastAsia="en-GB"/>
        </w:rPr>
        <w:t>Special educational needs in England: January 2019</w:t>
      </w:r>
      <w:r>
        <w:rPr>
          <w:lang w:eastAsia="en-GB"/>
        </w:rPr>
        <w:t xml:space="preserve">. Department for Education. Accessible from </w:t>
      </w:r>
      <w:hyperlink r:id="rId11" w:history="1">
        <w:r w:rsidRPr="00087DFD">
          <w:rPr>
            <w:rStyle w:val="Hyperlink"/>
            <w:lang w:eastAsia="en-GB"/>
          </w:rPr>
          <w:t>here</w:t>
        </w:r>
      </w:hyperlink>
      <w:r>
        <w:rPr>
          <w:lang w:eastAsia="en-GB"/>
        </w:rPr>
        <w:t>.</w:t>
      </w:r>
    </w:p>
    <w:p w14:paraId="44D522DD" w14:textId="77777777" w:rsidR="008703E1" w:rsidRDefault="008703E1" w:rsidP="008703E1">
      <w:pPr>
        <w:rPr>
          <w:lang w:eastAsia="en-GB"/>
        </w:rPr>
      </w:pPr>
    </w:p>
    <w:p w14:paraId="3FA75426" w14:textId="0C35B5B1" w:rsidR="008703E1" w:rsidRDefault="008703E1" w:rsidP="008703E1">
      <w:pPr>
        <w:rPr>
          <w:lang w:eastAsia="en-GB"/>
        </w:rPr>
      </w:pPr>
      <w:r>
        <w:rPr>
          <w:lang w:eastAsia="en-GB"/>
        </w:rPr>
        <w:t xml:space="preserve">Edwards (2019) </w:t>
      </w:r>
      <w:r w:rsidRPr="00B366EC">
        <w:rPr>
          <w:lang w:eastAsia="en-GB"/>
        </w:rPr>
        <w:t>Freedom of Information (FOI) questions on local authority education provision for children and young people with vision impairment in England: 2018</w:t>
      </w:r>
      <w:r w:rsidR="00DE7923">
        <w:rPr>
          <w:lang w:eastAsia="en-GB"/>
        </w:rPr>
        <w:t>.</w:t>
      </w:r>
      <w:r w:rsidR="00E725A8">
        <w:rPr>
          <w:lang w:eastAsia="en-GB"/>
        </w:rPr>
        <w:t xml:space="preserve"> RNIB.</w:t>
      </w:r>
      <w:r w:rsidR="00DE7923">
        <w:rPr>
          <w:lang w:eastAsia="en-GB"/>
        </w:rPr>
        <w:t xml:space="preserve"> Accessible from </w:t>
      </w:r>
      <w:hyperlink r:id="rId12" w:history="1">
        <w:r w:rsidR="00DE7923" w:rsidRPr="00DE7923">
          <w:rPr>
            <w:rStyle w:val="Hyperlink"/>
            <w:lang w:eastAsia="en-GB"/>
          </w:rPr>
          <w:t>here</w:t>
        </w:r>
      </w:hyperlink>
      <w:r w:rsidR="00DE7923">
        <w:rPr>
          <w:lang w:eastAsia="en-GB"/>
        </w:rPr>
        <w:t>.</w:t>
      </w:r>
    </w:p>
    <w:p w14:paraId="2E0C8F78" w14:textId="49B4F1A2" w:rsidR="008703E1" w:rsidRDefault="008703E1" w:rsidP="008703E1">
      <w:pPr>
        <w:rPr>
          <w:lang w:eastAsia="en-GB"/>
        </w:rPr>
      </w:pPr>
    </w:p>
    <w:p w14:paraId="3DA6BA21" w14:textId="7594FA9D" w:rsidR="00446F44" w:rsidRDefault="00446F44" w:rsidP="008703E1">
      <w:pPr>
        <w:rPr>
          <w:lang w:eastAsia="en-GB"/>
        </w:rPr>
      </w:pPr>
      <w:r>
        <w:rPr>
          <w:lang w:eastAsia="en-GB"/>
        </w:rPr>
        <w:t xml:space="preserve">Flynn (2018) </w:t>
      </w:r>
      <w:r w:rsidR="006E520F" w:rsidRPr="006E520F">
        <w:rPr>
          <w:lang w:eastAsia="en-GB"/>
        </w:rPr>
        <w:t>Freedom of Information (FOI) questions on local authority education provision for children and young people with vision impairment in England: 2017</w:t>
      </w:r>
      <w:r w:rsidR="00802132">
        <w:rPr>
          <w:lang w:eastAsia="en-GB"/>
        </w:rPr>
        <w:t xml:space="preserve">. RNIB. </w:t>
      </w:r>
      <w:r w:rsidR="009321C8">
        <w:rPr>
          <w:lang w:eastAsia="en-GB"/>
        </w:rPr>
        <w:t xml:space="preserve">Accessible from </w:t>
      </w:r>
      <w:hyperlink r:id="rId13" w:history="1">
        <w:r w:rsidR="009321C8" w:rsidRPr="009321C8">
          <w:rPr>
            <w:rStyle w:val="Hyperlink"/>
            <w:lang w:eastAsia="en-GB"/>
          </w:rPr>
          <w:t>here</w:t>
        </w:r>
      </w:hyperlink>
      <w:r w:rsidR="009321C8">
        <w:rPr>
          <w:lang w:eastAsia="en-GB"/>
        </w:rPr>
        <w:t xml:space="preserve">. </w:t>
      </w:r>
    </w:p>
    <w:p w14:paraId="59A643B2" w14:textId="77777777" w:rsidR="00446F44" w:rsidRDefault="00446F44" w:rsidP="008703E1">
      <w:pPr>
        <w:rPr>
          <w:lang w:eastAsia="en-GB"/>
        </w:rPr>
      </w:pPr>
    </w:p>
    <w:p w14:paraId="32E8CA28" w14:textId="7B60014A" w:rsidR="008703E1" w:rsidRDefault="008703E1" w:rsidP="008703E1">
      <w:pPr>
        <w:rPr>
          <w:lang w:eastAsia="en-GB"/>
        </w:rPr>
      </w:pPr>
      <w:r>
        <w:rPr>
          <w:lang w:eastAsia="en-GB"/>
        </w:rPr>
        <w:t xml:space="preserve">Keil (2018) </w:t>
      </w:r>
      <w:r w:rsidRPr="00866210">
        <w:rPr>
          <w:lang w:eastAsia="en-GB"/>
        </w:rPr>
        <w:t>Key facts about vision impairment in children and young people</w:t>
      </w:r>
      <w:r>
        <w:rPr>
          <w:lang w:eastAsia="en-GB"/>
        </w:rPr>
        <w:t xml:space="preserve"> (various references listed). Vision UK. Accessible from </w:t>
      </w:r>
      <w:hyperlink r:id="rId14" w:history="1">
        <w:r w:rsidRPr="00DE2717">
          <w:rPr>
            <w:rStyle w:val="Hyperlink"/>
            <w:lang w:eastAsia="en-GB"/>
          </w:rPr>
          <w:t>here</w:t>
        </w:r>
      </w:hyperlink>
      <w:r>
        <w:rPr>
          <w:lang w:eastAsia="en-GB"/>
        </w:rPr>
        <w:t>.</w:t>
      </w:r>
    </w:p>
    <w:p w14:paraId="5F22D30C" w14:textId="77777777" w:rsidR="008703E1" w:rsidRDefault="008703E1" w:rsidP="00A02ADB">
      <w:pPr>
        <w:rPr>
          <w:lang w:eastAsia="en-GB"/>
        </w:rPr>
      </w:pPr>
    </w:p>
    <w:p w14:paraId="4903A622" w14:textId="27D32EB9" w:rsidR="00A02ADB" w:rsidRPr="00DE7923" w:rsidRDefault="00A02ADB" w:rsidP="00A02ADB">
      <w:r w:rsidRPr="000C6983">
        <w:rPr>
          <w:lang w:eastAsia="en-GB"/>
        </w:rPr>
        <w:t>Keil (2016) Freedom of Information (FOI) questions on local authority education provision for children and young people with vision impairment: 2015. Final Report. RNIB</w:t>
      </w:r>
      <w:r w:rsidR="00DE7923">
        <w:rPr>
          <w:lang w:eastAsia="en-GB"/>
        </w:rPr>
        <w:t>.</w:t>
      </w:r>
      <w:r w:rsidR="00DE7923" w:rsidRPr="00DE7923">
        <w:rPr>
          <w:lang w:eastAsia="en-GB"/>
        </w:rPr>
        <w:t xml:space="preserve"> </w:t>
      </w:r>
      <w:r w:rsidR="00DE7923">
        <w:rPr>
          <w:lang w:eastAsia="en-GB"/>
        </w:rPr>
        <w:t xml:space="preserve">Accessible from </w:t>
      </w:r>
      <w:hyperlink r:id="rId15" w:history="1">
        <w:r w:rsidR="00DE7923" w:rsidRPr="00DE7923">
          <w:rPr>
            <w:rStyle w:val="Hyperlink"/>
            <w:lang w:eastAsia="en-GB"/>
          </w:rPr>
          <w:t>here</w:t>
        </w:r>
      </w:hyperlink>
      <w:r w:rsidR="00DE7923">
        <w:rPr>
          <w:lang w:eastAsia="en-GB"/>
        </w:rPr>
        <w:t>.</w:t>
      </w:r>
    </w:p>
    <w:p w14:paraId="50B978AC" w14:textId="77777777" w:rsidR="00783193" w:rsidRDefault="00783193" w:rsidP="00783193">
      <w:pPr>
        <w:rPr>
          <w:lang w:eastAsia="en-GB"/>
        </w:rPr>
      </w:pPr>
    </w:p>
    <w:p w14:paraId="76572BF5" w14:textId="69C4FC9C" w:rsidR="00783193" w:rsidRDefault="00783193" w:rsidP="00783193">
      <w:r w:rsidRPr="00A4142A">
        <w:t>NHS Digital (2017) Registered Blind and Partially Sighted People - England, Year ending 31 March 2017.</w:t>
      </w:r>
      <w:r>
        <w:t xml:space="preserve"> </w:t>
      </w:r>
      <w:r w:rsidR="00E725A8">
        <w:t xml:space="preserve">NHS Digital. </w:t>
      </w:r>
      <w:r>
        <w:rPr>
          <w:lang w:eastAsia="en-GB"/>
        </w:rPr>
        <w:t xml:space="preserve">Accessible from </w:t>
      </w:r>
      <w:hyperlink r:id="rId16" w:history="1">
        <w:r w:rsidRPr="00CD4D7D">
          <w:rPr>
            <w:rStyle w:val="Hyperlink"/>
          </w:rPr>
          <w:t>here</w:t>
        </w:r>
      </w:hyperlink>
      <w:r>
        <w:t>.</w:t>
      </w:r>
    </w:p>
    <w:p w14:paraId="7BF34090" w14:textId="77777777" w:rsidR="008703E1" w:rsidRDefault="008703E1" w:rsidP="008703E1">
      <w:pPr>
        <w:rPr>
          <w:lang w:eastAsia="en-GB"/>
        </w:rPr>
      </w:pPr>
    </w:p>
    <w:p w14:paraId="3E00C681" w14:textId="77777777" w:rsidR="008703E1" w:rsidRDefault="008703E1" w:rsidP="008703E1">
      <w:pPr>
        <w:rPr>
          <w:lang w:eastAsia="en-GB"/>
        </w:rPr>
      </w:pPr>
      <w:r>
        <w:rPr>
          <w:lang w:eastAsia="en-GB"/>
        </w:rPr>
        <w:t xml:space="preserve">Office for National Statistics (2019) </w:t>
      </w:r>
      <w:r w:rsidRPr="00CC51BC">
        <w:rPr>
          <w:lang w:eastAsia="en-GB"/>
        </w:rPr>
        <w:t>Consumer price inflation time series (MM23)</w:t>
      </w:r>
      <w:r>
        <w:rPr>
          <w:lang w:eastAsia="en-GB"/>
        </w:rPr>
        <w:t xml:space="preserve">: </w:t>
      </w:r>
      <w:r w:rsidRPr="003D3762">
        <w:rPr>
          <w:lang w:eastAsia="en-GB"/>
        </w:rPr>
        <w:t>CPI INDEX 00 ALL ITEMS 2015=100</w:t>
      </w:r>
      <w:r>
        <w:rPr>
          <w:lang w:eastAsia="en-GB"/>
        </w:rPr>
        <w:t xml:space="preserve">. Office for National Statistics. Accessible from </w:t>
      </w:r>
      <w:hyperlink r:id="rId17" w:history="1">
        <w:r w:rsidRPr="00B21A5B">
          <w:rPr>
            <w:rStyle w:val="Hyperlink"/>
            <w:lang w:eastAsia="en-GB"/>
          </w:rPr>
          <w:t>here</w:t>
        </w:r>
      </w:hyperlink>
      <w:r>
        <w:rPr>
          <w:lang w:eastAsia="en-GB"/>
        </w:rPr>
        <w:t>.</w:t>
      </w:r>
    </w:p>
    <w:p w14:paraId="1E57C66A" w14:textId="149535E4" w:rsidR="00DB12EA" w:rsidRDefault="00DB12EA" w:rsidP="00A02ADB">
      <w:pPr>
        <w:rPr>
          <w:lang w:eastAsia="en-GB"/>
        </w:rPr>
      </w:pPr>
    </w:p>
    <w:p w14:paraId="3B412FA4" w14:textId="6A40CC53" w:rsidR="00283C14" w:rsidRDefault="00283C14" w:rsidP="00A02ADB">
      <w:pPr>
        <w:rPr>
          <w:lang w:eastAsia="en-GB"/>
        </w:rPr>
      </w:pPr>
      <w:r>
        <w:rPr>
          <w:lang w:eastAsia="en-GB"/>
        </w:rPr>
        <w:t xml:space="preserve">RNIB (2016) </w:t>
      </w:r>
      <w:r w:rsidRPr="00283C14">
        <w:rPr>
          <w:lang w:eastAsia="en-GB"/>
        </w:rPr>
        <w:t>RNIB Evidence-based review</w:t>
      </w:r>
      <w:r>
        <w:rPr>
          <w:lang w:eastAsia="en-GB"/>
        </w:rPr>
        <w:t>:</w:t>
      </w:r>
      <w:r w:rsidRPr="00283C14">
        <w:rPr>
          <w:lang w:eastAsia="en-GB"/>
        </w:rPr>
        <w:t xml:space="preserve"> Children and young people England</w:t>
      </w:r>
      <w:r>
        <w:rPr>
          <w:lang w:eastAsia="en-GB"/>
        </w:rPr>
        <w:t xml:space="preserve">. RNIB. Accessible from </w:t>
      </w:r>
      <w:hyperlink r:id="rId18" w:history="1">
        <w:r w:rsidRPr="00B21A5B">
          <w:rPr>
            <w:rStyle w:val="Hyperlink"/>
            <w:lang w:eastAsia="en-GB"/>
          </w:rPr>
          <w:t>here</w:t>
        </w:r>
      </w:hyperlink>
      <w:r>
        <w:rPr>
          <w:lang w:eastAsia="en-GB"/>
        </w:rPr>
        <w:t>.</w:t>
      </w:r>
    </w:p>
    <w:p w14:paraId="393AE348" w14:textId="77777777" w:rsidR="00283C14" w:rsidRDefault="00283C14" w:rsidP="00A02ADB">
      <w:pPr>
        <w:rPr>
          <w:lang w:eastAsia="en-GB"/>
        </w:rPr>
      </w:pPr>
    </w:p>
    <w:p w14:paraId="0F5A8EBC" w14:textId="5CF87ECE" w:rsidR="00DB12EA" w:rsidRDefault="00DB12EA" w:rsidP="00A02ADB">
      <w:pPr>
        <w:rPr>
          <w:lang w:eastAsia="en-GB"/>
        </w:rPr>
      </w:pPr>
      <w:r>
        <w:rPr>
          <w:lang w:eastAsia="en-GB"/>
        </w:rPr>
        <w:t>SEN</w:t>
      </w:r>
      <w:r w:rsidR="006D0D4D">
        <w:rPr>
          <w:lang w:eastAsia="en-GB"/>
        </w:rPr>
        <w:t>D</w:t>
      </w:r>
      <w:r>
        <w:rPr>
          <w:lang w:eastAsia="en-GB"/>
        </w:rPr>
        <w:t xml:space="preserve"> Code of Practice</w:t>
      </w:r>
      <w:r w:rsidR="00B315A7">
        <w:rPr>
          <w:lang w:eastAsia="en-GB"/>
        </w:rPr>
        <w:t xml:space="preserve"> (</w:t>
      </w:r>
      <w:r w:rsidR="00D94822">
        <w:rPr>
          <w:lang w:eastAsia="en-GB"/>
        </w:rPr>
        <w:t>2015</w:t>
      </w:r>
      <w:r w:rsidR="00B315A7">
        <w:rPr>
          <w:lang w:eastAsia="en-GB"/>
        </w:rPr>
        <w:t>)</w:t>
      </w:r>
      <w:r w:rsidR="00D94822">
        <w:rPr>
          <w:lang w:eastAsia="en-GB"/>
        </w:rPr>
        <w:t xml:space="preserve">, </w:t>
      </w:r>
      <w:r w:rsidR="00D94822" w:rsidRPr="00D94822">
        <w:rPr>
          <w:lang w:eastAsia="en-GB"/>
        </w:rPr>
        <w:t>SEND Code of Practice</w:t>
      </w:r>
      <w:r w:rsidR="006D0D4D">
        <w:rPr>
          <w:lang w:eastAsia="en-GB"/>
        </w:rPr>
        <w:t>: 0-25 years,</w:t>
      </w:r>
      <w:r w:rsidR="00D94822" w:rsidRPr="00D94822">
        <w:rPr>
          <w:lang w:eastAsia="en-GB"/>
        </w:rPr>
        <w:t xml:space="preserve"> 7.18, 7.23</w:t>
      </w:r>
      <w:r w:rsidR="00D94822">
        <w:rPr>
          <w:lang w:eastAsia="en-GB"/>
        </w:rPr>
        <w:t>. Department for Education</w:t>
      </w:r>
      <w:r w:rsidR="00137D4B">
        <w:rPr>
          <w:lang w:eastAsia="en-GB"/>
        </w:rPr>
        <w:t xml:space="preserve"> and </w:t>
      </w:r>
      <w:r w:rsidR="00137D4B" w:rsidRPr="00137D4B">
        <w:rPr>
          <w:lang w:eastAsia="en-GB"/>
        </w:rPr>
        <w:t>Department of Health and Social Care</w:t>
      </w:r>
      <w:r w:rsidR="00D94822">
        <w:rPr>
          <w:lang w:eastAsia="en-GB"/>
        </w:rPr>
        <w:t xml:space="preserve">. Accessible from </w:t>
      </w:r>
      <w:hyperlink r:id="rId19" w:history="1">
        <w:r w:rsidR="00D94822" w:rsidRPr="00D94822">
          <w:rPr>
            <w:rStyle w:val="Hyperlink"/>
            <w:lang w:eastAsia="en-GB"/>
          </w:rPr>
          <w:t>here</w:t>
        </w:r>
      </w:hyperlink>
      <w:r w:rsidR="00D94822">
        <w:rPr>
          <w:lang w:eastAsia="en-GB"/>
        </w:rPr>
        <w:t>.</w:t>
      </w:r>
      <w:r w:rsidR="002A47C2">
        <w:rPr>
          <w:lang w:eastAsia="en-GB"/>
        </w:rPr>
        <w:t xml:space="preserve"> </w:t>
      </w:r>
    </w:p>
    <w:p w14:paraId="521642D5" w14:textId="438E8192" w:rsidR="003D3762" w:rsidRDefault="003D3762" w:rsidP="00A02ADB">
      <w:pPr>
        <w:rPr>
          <w:lang w:eastAsia="en-GB"/>
        </w:rPr>
      </w:pPr>
    </w:p>
    <w:p w14:paraId="3C8B30E8" w14:textId="23A16ADB" w:rsidR="00F52847" w:rsidRPr="00C43D08" w:rsidRDefault="00A02ADB" w:rsidP="00A02ADB">
      <w:pPr>
        <w:rPr>
          <w:b/>
          <w:lang w:eastAsia="en-GB"/>
        </w:rPr>
      </w:pPr>
      <w:r w:rsidRPr="00494C68">
        <w:rPr>
          <w:b/>
          <w:lang w:eastAsia="en-GB"/>
        </w:rPr>
        <w:t>END</w:t>
      </w:r>
    </w:p>
    <w:sectPr w:rsidR="00F52847" w:rsidRPr="00C43D08" w:rsidSect="00EE1E08">
      <w:footerReference w:type="default" r:id="rId2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F6DDA" w14:textId="77777777" w:rsidR="007E4708" w:rsidRDefault="007E4708" w:rsidP="00E539B0">
      <w:r>
        <w:separator/>
      </w:r>
    </w:p>
  </w:endnote>
  <w:endnote w:type="continuationSeparator" w:id="0">
    <w:p w14:paraId="356C6D06" w14:textId="77777777" w:rsidR="007E4708" w:rsidRDefault="007E4708" w:rsidP="00E539B0">
      <w:r>
        <w:continuationSeparator/>
      </w:r>
    </w:p>
  </w:endnote>
  <w:endnote w:type="continuationNotice" w:id="1">
    <w:p w14:paraId="481EC968" w14:textId="77777777" w:rsidR="007E4708" w:rsidRDefault="007E4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5286D37A" w14:textId="77777777" w:rsidR="00851E51" w:rsidRDefault="00851E51">
        <w:pPr>
          <w:pStyle w:val="Footer"/>
          <w:jc w:val="center"/>
        </w:pPr>
        <w:r>
          <w:fldChar w:fldCharType="begin"/>
        </w:r>
        <w:r>
          <w:instrText xml:space="preserve"> PAGE   \* MERGEFORMAT </w:instrText>
        </w:r>
        <w:r>
          <w:fldChar w:fldCharType="separate"/>
        </w:r>
        <w:r w:rsidR="00DF055D">
          <w:rPr>
            <w:noProof/>
          </w:rPr>
          <w:t>16</w:t>
        </w:r>
        <w:r>
          <w:rPr>
            <w:noProof/>
          </w:rPr>
          <w:fldChar w:fldCharType="end"/>
        </w:r>
      </w:p>
    </w:sdtContent>
  </w:sdt>
  <w:p w14:paraId="196BE077" w14:textId="77777777" w:rsidR="00851E51" w:rsidRDefault="00851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48D6D" w14:textId="77777777" w:rsidR="007E4708" w:rsidRDefault="007E4708" w:rsidP="00E539B0">
      <w:r>
        <w:separator/>
      </w:r>
    </w:p>
  </w:footnote>
  <w:footnote w:type="continuationSeparator" w:id="0">
    <w:p w14:paraId="32166365" w14:textId="77777777" w:rsidR="007E4708" w:rsidRDefault="007E4708" w:rsidP="00E539B0">
      <w:r>
        <w:continuationSeparator/>
      </w:r>
    </w:p>
  </w:footnote>
  <w:footnote w:type="continuationNotice" w:id="1">
    <w:p w14:paraId="528403E8" w14:textId="77777777" w:rsidR="007E4708" w:rsidRDefault="007E47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5BE948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82A01"/>
    <w:multiLevelType w:val="hybridMultilevel"/>
    <w:tmpl w:val="2048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24BA8"/>
    <w:multiLevelType w:val="hybridMultilevel"/>
    <w:tmpl w:val="59A4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E0110"/>
    <w:multiLevelType w:val="hybridMultilevel"/>
    <w:tmpl w:val="D690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651024"/>
    <w:multiLevelType w:val="hybridMultilevel"/>
    <w:tmpl w:val="F9D2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44D3C"/>
    <w:multiLevelType w:val="hybridMultilevel"/>
    <w:tmpl w:val="89D4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E4C5C"/>
    <w:multiLevelType w:val="hybridMultilevel"/>
    <w:tmpl w:val="770E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27D6B"/>
    <w:multiLevelType w:val="hybridMultilevel"/>
    <w:tmpl w:val="96F2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3A36F8"/>
    <w:multiLevelType w:val="hybridMultilevel"/>
    <w:tmpl w:val="E6025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6"/>
  </w:num>
  <w:num w:numId="5">
    <w:abstractNumId w:val="14"/>
  </w:num>
  <w:num w:numId="6">
    <w:abstractNumId w:val="13"/>
  </w:num>
  <w:num w:numId="7">
    <w:abstractNumId w:val="2"/>
  </w:num>
  <w:num w:numId="8">
    <w:abstractNumId w:val="3"/>
  </w:num>
  <w:num w:numId="9">
    <w:abstractNumId w:val="5"/>
  </w:num>
  <w:num w:numId="10">
    <w:abstractNumId w:val="4"/>
  </w:num>
  <w:num w:numId="11">
    <w:abstractNumId w:val="7"/>
  </w:num>
  <w:num w:numId="12">
    <w:abstractNumId w:val="9"/>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DB"/>
    <w:rsid w:val="00000DA2"/>
    <w:rsid w:val="0000265A"/>
    <w:rsid w:val="00003766"/>
    <w:rsid w:val="00004773"/>
    <w:rsid w:val="00005DC5"/>
    <w:rsid w:val="00006CEA"/>
    <w:rsid w:val="00007562"/>
    <w:rsid w:val="00007A1F"/>
    <w:rsid w:val="00010F7A"/>
    <w:rsid w:val="0001129F"/>
    <w:rsid w:val="00012219"/>
    <w:rsid w:val="0001296A"/>
    <w:rsid w:val="00012FB6"/>
    <w:rsid w:val="00013028"/>
    <w:rsid w:val="00014378"/>
    <w:rsid w:val="000156B1"/>
    <w:rsid w:val="00016E20"/>
    <w:rsid w:val="0001767C"/>
    <w:rsid w:val="00020966"/>
    <w:rsid w:val="000221C6"/>
    <w:rsid w:val="00025BF7"/>
    <w:rsid w:val="00025D0F"/>
    <w:rsid w:val="00026640"/>
    <w:rsid w:val="000272B8"/>
    <w:rsid w:val="00030029"/>
    <w:rsid w:val="0003372B"/>
    <w:rsid w:val="00035897"/>
    <w:rsid w:val="000360CF"/>
    <w:rsid w:val="00041084"/>
    <w:rsid w:val="000418D5"/>
    <w:rsid w:val="00042BDD"/>
    <w:rsid w:val="00044AD7"/>
    <w:rsid w:val="00044C09"/>
    <w:rsid w:val="0004596C"/>
    <w:rsid w:val="00045F45"/>
    <w:rsid w:val="00046FFE"/>
    <w:rsid w:val="00047F6E"/>
    <w:rsid w:val="0005099D"/>
    <w:rsid w:val="00053C83"/>
    <w:rsid w:val="00054F82"/>
    <w:rsid w:val="0005623D"/>
    <w:rsid w:val="000563C6"/>
    <w:rsid w:val="00057057"/>
    <w:rsid w:val="000577F5"/>
    <w:rsid w:val="00060003"/>
    <w:rsid w:val="00060A40"/>
    <w:rsid w:val="000623A5"/>
    <w:rsid w:val="0006314E"/>
    <w:rsid w:val="00063574"/>
    <w:rsid w:val="000649C8"/>
    <w:rsid w:val="00065569"/>
    <w:rsid w:val="0006620F"/>
    <w:rsid w:val="000670EA"/>
    <w:rsid w:val="000676EF"/>
    <w:rsid w:val="00067E0C"/>
    <w:rsid w:val="00075ADB"/>
    <w:rsid w:val="00076447"/>
    <w:rsid w:val="00076624"/>
    <w:rsid w:val="00076796"/>
    <w:rsid w:val="00076C51"/>
    <w:rsid w:val="00082A67"/>
    <w:rsid w:val="0008368D"/>
    <w:rsid w:val="000854A4"/>
    <w:rsid w:val="00087DFD"/>
    <w:rsid w:val="0009451E"/>
    <w:rsid w:val="00094657"/>
    <w:rsid w:val="000962A9"/>
    <w:rsid w:val="000A0306"/>
    <w:rsid w:val="000A1631"/>
    <w:rsid w:val="000A1814"/>
    <w:rsid w:val="000A19C4"/>
    <w:rsid w:val="000A312B"/>
    <w:rsid w:val="000A3B3D"/>
    <w:rsid w:val="000A4DCE"/>
    <w:rsid w:val="000A596A"/>
    <w:rsid w:val="000B4B9F"/>
    <w:rsid w:val="000B4FC1"/>
    <w:rsid w:val="000B5BCF"/>
    <w:rsid w:val="000B5E30"/>
    <w:rsid w:val="000B6238"/>
    <w:rsid w:val="000C126A"/>
    <w:rsid w:val="000C1C58"/>
    <w:rsid w:val="000C319B"/>
    <w:rsid w:val="000C335B"/>
    <w:rsid w:val="000C35F9"/>
    <w:rsid w:val="000C722B"/>
    <w:rsid w:val="000D0B93"/>
    <w:rsid w:val="000D1790"/>
    <w:rsid w:val="000D24FA"/>
    <w:rsid w:val="000D3CF2"/>
    <w:rsid w:val="000D6115"/>
    <w:rsid w:val="000D614D"/>
    <w:rsid w:val="000D7045"/>
    <w:rsid w:val="000D7A11"/>
    <w:rsid w:val="000E106A"/>
    <w:rsid w:val="000E2120"/>
    <w:rsid w:val="000E6B55"/>
    <w:rsid w:val="000E7054"/>
    <w:rsid w:val="000F266D"/>
    <w:rsid w:val="000F392A"/>
    <w:rsid w:val="000F3D8F"/>
    <w:rsid w:val="000F4A1A"/>
    <w:rsid w:val="000F5141"/>
    <w:rsid w:val="000F54F4"/>
    <w:rsid w:val="000F5A99"/>
    <w:rsid w:val="000F62E5"/>
    <w:rsid w:val="001015EE"/>
    <w:rsid w:val="00102682"/>
    <w:rsid w:val="00103726"/>
    <w:rsid w:val="001044CF"/>
    <w:rsid w:val="0010698A"/>
    <w:rsid w:val="00111375"/>
    <w:rsid w:val="001128BE"/>
    <w:rsid w:val="00112D66"/>
    <w:rsid w:val="001130BD"/>
    <w:rsid w:val="0011437A"/>
    <w:rsid w:val="00115098"/>
    <w:rsid w:val="00115DFF"/>
    <w:rsid w:val="00117B35"/>
    <w:rsid w:val="00123927"/>
    <w:rsid w:val="001241D0"/>
    <w:rsid w:val="00124C99"/>
    <w:rsid w:val="001267D0"/>
    <w:rsid w:val="0013061D"/>
    <w:rsid w:val="001306D5"/>
    <w:rsid w:val="00131DE6"/>
    <w:rsid w:val="0013334D"/>
    <w:rsid w:val="00133A6F"/>
    <w:rsid w:val="001342CF"/>
    <w:rsid w:val="00135776"/>
    <w:rsid w:val="001360AC"/>
    <w:rsid w:val="001360C1"/>
    <w:rsid w:val="00136431"/>
    <w:rsid w:val="00136CD8"/>
    <w:rsid w:val="00137199"/>
    <w:rsid w:val="00137D4B"/>
    <w:rsid w:val="00137F79"/>
    <w:rsid w:val="001410C7"/>
    <w:rsid w:val="00141936"/>
    <w:rsid w:val="0014329D"/>
    <w:rsid w:val="001439E9"/>
    <w:rsid w:val="00145050"/>
    <w:rsid w:val="00145ACC"/>
    <w:rsid w:val="00146446"/>
    <w:rsid w:val="00150D4C"/>
    <w:rsid w:val="00151D37"/>
    <w:rsid w:val="001528B9"/>
    <w:rsid w:val="0015487E"/>
    <w:rsid w:val="00154F3D"/>
    <w:rsid w:val="00155055"/>
    <w:rsid w:val="001642F6"/>
    <w:rsid w:val="001647B8"/>
    <w:rsid w:val="001649C1"/>
    <w:rsid w:val="00166E69"/>
    <w:rsid w:val="001719E1"/>
    <w:rsid w:val="00173C18"/>
    <w:rsid w:val="001742BF"/>
    <w:rsid w:val="00174471"/>
    <w:rsid w:val="00175B75"/>
    <w:rsid w:val="0017624D"/>
    <w:rsid w:val="001773B8"/>
    <w:rsid w:val="001776FD"/>
    <w:rsid w:val="00180013"/>
    <w:rsid w:val="00183EDA"/>
    <w:rsid w:val="00184A58"/>
    <w:rsid w:val="00187AEB"/>
    <w:rsid w:val="00187CF1"/>
    <w:rsid w:val="0019133B"/>
    <w:rsid w:val="0019284F"/>
    <w:rsid w:val="00195B97"/>
    <w:rsid w:val="001964A1"/>
    <w:rsid w:val="001966B9"/>
    <w:rsid w:val="00196B69"/>
    <w:rsid w:val="0019703A"/>
    <w:rsid w:val="001A133D"/>
    <w:rsid w:val="001A1698"/>
    <w:rsid w:val="001A3CD1"/>
    <w:rsid w:val="001A3F30"/>
    <w:rsid w:val="001A5C10"/>
    <w:rsid w:val="001A6563"/>
    <w:rsid w:val="001A732C"/>
    <w:rsid w:val="001B315B"/>
    <w:rsid w:val="001B3B9B"/>
    <w:rsid w:val="001B406D"/>
    <w:rsid w:val="001B64A9"/>
    <w:rsid w:val="001B7E0D"/>
    <w:rsid w:val="001C0CB4"/>
    <w:rsid w:val="001C1302"/>
    <w:rsid w:val="001C217F"/>
    <w:rsid w:val="001C28F7"/>
    <w:rsid w:val="001C4453"/>
    <w:rsid w:val="001C4CCB"/>
    <w:rsid w:val="001C5DE0"/>
    <w:rsid w:val="001C7219"/>
    <w:rsid w:val="001D1128"/>
    <w:rsid w:val="001D1411"/>
    <w:rsid w:val="001D18A5"/>
    <w:rsid w:val="001D2B17"/>
    <w:rsid w:val="001D2F5A"/>
    <w:rsid w:val="001D329B"/>
    <w:rsid w:val="001D3412"/>
    <w:rsid w:val="001D5336"/>
    <w:rsid w:val="001D5A85"/>
    <w:rsid w:val="001D5B85"/>
    <w:rsid w:val="001D70FF"/>
    <w:rsid w:val="001E064C"/>
    <w:rsid w:val="001E1257"/>
    <w:rsid w:val="001E1D16"/>
    <w:rsid w:val="001E3935"/>
    <w:rsid w:val="001E4D55"/>
    <w:rsid w:val="001F10FF"/>
    <w:rsid w:val="0020424F"/>
    <w:rsid w:val="002042A0"/>
    <w:rsid w:val="002047BB"/>
    <w:rsid w:val="002047D4"/>
    <w:rsid w:val="00205816"/>
    <w:rsid w:val="00205EF3"/>
    <w:rsid w:val="00206670"/>
    <w:rsid w:val="00207014"/>
    <w:rsid w:val="00207155"/>
    <w:rsid w:val="00207C6C"/>
    <w:rsid w:val="00207EF1"/>
    <w:rsid w:val="00210C23"/>
    <w:rsid w:val="002141FB"/>
    <w:rsid w:val="0021484A"/>
    <w:rsid w:val="00214D75"/>
    <w:rsid w:val="00216C40"/>
    <w:rsid w:val="002222B5"/>
    <w:rsid w:val="002254C4"/>
    <w:rsid w:val="00225FC1"/>
    <w:rsid w:val="0022609F"/>
    <w:rsid w:val="0022658D"/>
    <w:rsid w:val="0022772B"/>
    <w:rsid w:val="00227F4A"/>
    <w:rsid w:val="00231825"/>
    <w:rsid w:val="002337FD"/>
    <w:rsid w:val="00234679"/>
    <w:rsid w:val="00234908"/>
    <w:rsid w:val="00235A5B"/>
    <w:rsid w:val="00235C04"/>
    <w:rsid w:val="00236BA9"/>
    <w:rsid w:val="00240796"/>
    <w:rsid w:val="00241CD1"/>
    <w:rsid w:val="00242DF3"/>
    <w:rsid w:val="002431B1"/>
    <w:rsid w:val="002439E4"/>
    <w:rsid w:val="002442AF"/>
    <w:rsid w:val="00250966"/>
    <w:rsid w:val="002537CB"/>
    <w:rsid w:val="00253908"/>
    <w:rsid w:val="00256FEE"/>
    <w:rsid w:val="0025731F"/>
    <w:rsid w:val="002617BF"/>
    <w:rsid w:val="00266222"/>
    <w:rsid w:val="00266EA3"/>
    <w:rsid w:val="00270C01"/>
    <w:rsid w:val="002716E5"/>
    <w:rsid w:val="00275F25"/>
    <w:rsid w:val="00277547"/>
    <w:rsid w:val="00277CEC"/>
    <w:rsid w:val="00280A1E"/>
    <w:rsid w:val="00281C5A"/>
    <w:rsid w:val="00283C14"/>
    <w:rsid w:val="00283D1D"/>
    <w:rsid w:val="002852B5"/>
    <w:rsid w:val="002901B2"/>
    <w:rsid w:val="00291A86"/>
    <w:rsid w:val="00292F08"/>
    <w:rsid w:val="00293AC1"/>
    <w:rsid w:val="00294064"/>
    <w:rsid w:val="00294FCD"/>
    <w:rsid w:val="00295CC5"/>
    <w:rsid w:val="00297F11"/>
    <w:rsid w:val="002A1056"/>
    <w:rsid w:val="002A16DA"/>
    <w:rsid w:val="002A2373"/>
    <w:rsid w:val="002A2786"/>
    <w:rsid w:val="002A3656"/>
    <w:rsid w:val="002A47C2"/>
    <w:rsid w:val="002A597B"/>
    <w:rsid w:val="002A5D18"/>
    <w:rsid w:val="002B2A30"/>
    <w:rsid w:val="002B2F38"/>
    <w:rsid w:val="002B4D70"/>
    <w:rsid w:val="002B4FA0"/>
    <w:rsid w:val="002B5197"/>
    <w:rsid w:val="002B6AA1"/>
    <w:rsid w:val="002B7A1F"/>
    <w:rsid w:val="002C0291"/>
    <w:rsid w:val="002C1B63"/>
    <w:rsid w:val="002C21D9"/>
    <w:rsid w:val="002C358D"/>
    <w:rsid w:val="002C3598"/>
    <w:rsid w:val="002C4BC5"/>
    <w:rsid w:val="002C71A3"/>
    <w:rsid w:val="002C7CE4"/>
    <w:rsid w:val="002D325D"/>
    <w:rsid w:val="002D6298"/>
    <w:rsid w:val="002D6B30"/>
    <w:rsid w:val="002E1D4E"/>
    <w:rsid w:val="002E332D"/>
    <w:rsid w:val="002E40EA"/>
    <w:rsid w:val="002E4477"/>
    <w:rsid w:val="002E639D"/>
    <w:rsid w:val="002E6B76"/>
    <w:rsid w:val="002F2653"/>
    <w:rsid w:val="002F4029"/>
    <w:rsid w:val="002F5661"/>
    <w:rsid w:val="002F66C7"/>
    <w:rsid w:val="002F74AC"/>
    <w:rsid w:val="003012BC"/>
    <w:rsid w:val="00301DBD"/>
    <w:rsid w:val="00301FFF"/>
    <w:rsid w:val="00303961"/>
    <w:rsid w:val="00303C99"/>
    <w:rsid w:val="00311AAF"/>
    <w:rsid w:val="00311B49"/>
    <w:rsid w:val="00313204"/>
    <w:rsid w:val="0031330A"/>
    <w:rsid w:val="0031355D"/>
    <w:rsid w:val="003150DE"/>
    <w:rsid w:val="00315A63"/>
    <w:rsid w:val="00316478"/>
    <w:rsid w:val="00317321"/>
    <w:rsid w:val="0031776A"/>
    <w:rsid w:val="003201ED"/>
    <w:rsid w:val="00320D50"/>
    <w:rsid w:val="00321211"/>
    <w:rsid w:val="00321408"/>
    <w:rsid w:val="00323EEB"/>
    <w:rsid w:val="00326458"/>
    <w:rsid w:val="00326A9E"/>
    <w:rsid w:val="003306FA"/>
    <w:rsid w:val="00331D0C"/>
    <w:rsid w:val="0033393B"/>
    <w:rsid w:val="00333CA3"/>
    <w:rsid w:val="003368F7"/>
    <w:rsid w:val="003370B4"/>
    <w:rsid w:val="00343029"/>
    <w:rsid w:val="00343757"/>
    <w:rsid w:val="00344A1C"/>
    <w:rsid w:val="00345160"/>
    <w:rsid w:val="0035185E"/>
    <w:rsid w:val="00353639"/>
    <w:rsid w:val="00360159"/>
    <w:rsid w:val="0036149C"/>
    <w:rsid w:val="00362064"/>
    <w:rsid w:val="00364764"/>
    <w:rsid w:val="00366A7D"/>
    <w:rsid w:val="00366E75"/>
    <w:rsid w:val="00366EEA"/>
    <w:rsid w:val="003673CE"/>
    <w:rsid w:val="00372821"/>
    <w:rsid w:val="00374D9E"/>
    <w:rsid w:val="003755B8"/>
    <w:rsid w:val="003806A3"/>
    <w:rsid w:val="00381BCA"/>
    <w:rsid w:val="00382376"/>
    <w:rsid w:val="00385D19"/>
    <w:rsid w:val="0039239E"/>
    <w:rsid w:val="00392565"/>
    <w:rsid w:val="003929EF"/>
    <w:rsid w:val="00394BB8"/>
    <w:rsid w:val="00394ED4"/>
    <w:rsid w:val="0039732C"/>
    <w:rsid w:val="003A02A6"/>
    <w:rsid w:val="003A0951"/>
    <w:rsid w:val="003A2DC0"/>
    <w:rsid w:val="003A35D1"/>
    <w:rsid w:val="003A408B"/>
    <w:rsid w:val="003A4A19"/>
    <w:rsid w:val="003A6921"/>
    <w:rsid w:val="003B30B3"/>
    <w:rsid w:val="003B5A10"/>
    <w:rsid w:val="003B6B52"/>
    <w:rsid w:val="003C04EF"/>
    <w:rsid w:val="003C11FD"/>
    <w:rsid w:val="003C270A"/>
    <w:rsid w:val="003C600A"/>
    <w:rsid w:val="003C67A3"/>
    <w:rsid w:val="003D0D0F"/>
    <w:rsid w:val="003D2A4E"/>
    <w:rsid w:val="003D3762"/>
    <w:rsid w:val="003D405C"/>
    <w:rsid w:val="003D4187"/>
    <w:rsid w:val="003D5724"/>
    <w:rsid w:val="003D59F4"/>
    <w:rsid w:val="003D5A19"/>
    <w:rsid w:val="003D5E00"/>
    <w:rsid w:val="003D78AE"/>
    <w:rsid w:val="003E012A"/>
    <w:rsid w:val="003E140C"/>
    <w:rsid w:val="003E1F19"/>
    <w:rsid w:val="003E5B33"/>
    <w:rsid w:val="003E710A"/>
    <w:rsid w:val="003E732C"/>
    <w:rsid w:val="003E7DF4"/>
    <w:rsid w:val="003F0296"/>
    <w:rsid w:val="003F03C8"/>
    <w:rsid w:val="003F257F"/>
    <w:rsid w:val="003F357A"/>
    <w:rsid w:val="003F42A5"/>
    <w:rsid w:val="003F5B02"/>
    <w:rsid w:val="003F6822"/>
    <w:rsid w:val="003F79AB"/>
    <w:rsid w:val="0040051C"/>
    <w:rsid w:val="00400C16"/>
    <w:rsid w:val="00403A61"/>
    <w:rsid w:val="00405E26"/>
    <w:rsid w:val="00410F86"/>
    <w:rsid w:val="00412053"/>
    <w:rsid w:val="00412912"/>
    <w:rsid w:val="004152F2"/>
    <w:rsid w:val="004163EC"/>
    <w:rsid w:val="00416D5B"/>
    <w:rsid w:val="004215E1"/>
    <w:rsid w:val="00421B86"/>
    <w:rsid w:val="00422697"/>
    <w:rsid w:val="00422C44"/>
    <w:rsid w:val="004239B4"/>
    <w:rsid w:val="00433336"/>
    <w:rsid w:val="00433E7C"/>
    <w:rsid w:val="0043517A"/>
    <w:rsid w:val="00435A0C"/>
    <w:rsid w:val="00441E11"/>
    <w:rsid w:val="00442775"/>
    <w:rsid w:val="004453C9"/>
    <w:rsid w:val="00445D98"/>
    <w:rsid w:val="00446F44"/>
    <w:rsid w:val="004477DD"/>
    <w:rsid w:val="004513DB"/>
    <w:rsid w:val="004522FE"/>
    <w:rsid w:val="00454379"/>
    <w:rsid w:val="004544CB"/>
    <w:rsid w:val="00456ACD"/>
    <w:rsid w:val="00456DCA"/>
    <w:rsid w:val="00460EAD"/>
    <w:rsid w:val="00461320"/>
    <w:rsid w:val="00461ED5"/>
    <w:rsid w:val="004622AC"/>
    <w:rsid w:val="004623F5"/>
    <w:rsid w:val="00462896"/>
    <w:rsid w:val="004641E4"/>
    <w:rsid w:val="004654B4"/>
    <w:rsid w:val="0046657E"/>
    <w:rsid w:val="00470225"/>
    <w:rsid w:val="0047025E"/>
    <w:rsid w:val="00470299"/>
    <w:rsid w:val="0047288A"/>
    <w:rsid w:val="00473F51"/>
    <w:rsid w:val="00474927"/>
    <w:rsid w:val="0047611E"/>
    <w:rsid w:val="00477749"/>
    <w:rsid w:val="00477D36"/>
    <w:rsid w:val="004800B3"/>
    <w:rsid w:val="004809C6"/>
    <w:rsid w:val="0048238A"/>
    <w:rsid w:val="0048308B"/>
    <w:rsid w:val="004877E6"/>
    <w:rsid w:val="00487931"/>
    <w:rsid w:val="00490CE9"/>
    <w:rsid w:val="00492620"/>
    <w:rsid w:val="00493E77"/>
    <w:rsid w:val="00494C68"/>
    <w:rsid w:val="00495D68"/>
    <w:rsid w:val="004A052F"/>
    <w:rsid w:val="004A1C88"/>
    <w:rsid w:val="004A3C98"/>
    <w:rsid w:val="004A4C42"/>
    <w:rsid w:val="004A6CA3"/>
    <w:rsid w:val="004B0256"/>
    <w:rsid w:val="004B1AE9"/>
    <w:rsid w:val="004B1BE3"/>
    <w:rsid w:val="004B34FD"/>
    <w:rsid w:val="004B3FE2"/>
    <w:rsid w:val="004B41A1"/>
    <w:rsid w:val="004B598D"/>
    <w:rsid w:val="004C20AB"/>
    <w:rsid w:val="004C2163"/>
    <w:rsid w:val="004C220B"/>
    <w:rsid w:val="004C3BA9"/>
    <w:rsid w:val="004C452A"/>
    <w:rsid w:val="004C4C08"/>
    <w:rsid w:val="004C5CCB"/>
    <w:rsid w:val="004C64AB"/>
    <w:rsid w:val="004D27F5"/>
    <w:rsid w:val="004D56D7"/>
    <w:rsid w:val="004D5E6D"/>
    <w:rsid w:val="004D6242"/>
    <w:rsid w:val="004D7368"/>
    <w:rsid w:val="004E0CA8"/>
    <w:rsid w:val="004E244F"/>
    <w:rsid w:val="004E4BBB"/>
    <w:rsid w:val="004F0150"/>
    <w:rsid w:val="004F19EF"/>
    <w:rsid w:val="004F4AF4"/>
    <w:rsid w:val="004F4E5D"/>
    <w:rsid w:val="004F5101"/>
    <w:rsid w:val="004F582F"/>
    <w:rsid w:val="00503E6B"/>
    <w:rsid w:val="00503FC2"/>
    <w:rsid w:val="005048B0"/>
    <w:rsid w:val="00504F25"/>
    <w:rsid w:val="00505A5F"/>
    <w:rsid w:val="005119A2"/>
    <w:rsid w:val="0051221F"/>
    <w:rsid w:val="00512ABD"/>
    <w:rsid w:val="00514392"/>
    <w:rsid w:val="005176CD"/>
    <w:rsid w:val="005200C2"/>
    <w:rsid w:val="005226F4"/>
    <w:rsid w:val="00526A52"/>
    <w:rsid w:val="005271CA"/>
    <w:rsid w:val="005272EB"/>
    <w:rsid w:val="00533B42"/>
    <w:rsid w:val="00534163"/>
    <w:rsid w:val="00536810"/>
    <w:rsid w:val="00536C25"/>
    <w:rsid w:val="00541A5F"/>
    <w:rsid w:val="005426AB"/>
    <w:rsid w:val="00542EC0"/>
    <w:rsid w:val="0054378E"/>
    <w:rsid w:val="005455BF"/>
    <w:rsid w:val="0054614D"/>
    <w:rsid w:val="00552F44"/>
    <w:rsid w:val="00553C65"/>
    <w:rsid w:val="00555898"/>
    <w:rsid w:val="005564D1"/>
    <w:rsid w:val="0055665D"/>
    <w:rsid w:val="00557DAF"/>
    <w:rsid w:val="00561949"/>
    <w:rsid w:val="00562193"/>
    <w:rsid w:val="0056417D"/>
    <w:rsid w:val="00571D56"/>
    <w:rsid w:val="00572C38"/>
    <w:rsid w:val="00574F02"/>
    <w:rsid w:val="00574F11"/>
    <w:rsid w:val="00576477"/>
    <w:rsid w:val="0057658D"/>
    <w:rsid w:val="005768D1"/>
    <w:rsid w:val="00576D1F"/>
    <w:rsid w:val="00576E33"/>
    <w:rsid w:val="00576EB1"/>
    <w:rsid w:val="00577CF0"/>
    <w:rsid w:val="0058011C"/>
    <w:rsid w:val="00580D63"/>
    <w:rsid w:val="00581258"/>
    <w:rsid w:val="005815E1"/>
    <w:rsid w:val="00584DDF"/>
    <w:rsid w:val="0058545B"/>
    <w:rsid w:val="00585804"/>
    <w:rsid w:val="00586E88"/>
    <w:rsid w:val="005900E0"/>
    <w:rsid w:val="005902A3"/>
    <w:rsid w:val="00591D6B"/>
    <w:rsid w:val="0059426D"/>
    <w:rsid w:val="005950EA"/>
    <w:rsid w:val="005965D6"/>
    <w:rsid w:val="005A10A8"/>
    <w:rsid w:val="005A1650"/>
    <w:rsid w:val="005A36A7"/>
    <w:rsid w:val="005A390B"/>
    <w:rsid w:val="005A4A1A"/>
    <w:rsid w:val="005A5021"/>
    <w:rsid w:val="005A73AF"/>
    <w:rsid w:val="005B0465"/>
    <w:rsid w:val="005B083B"/>
    <w:rsid w:val="005B3877"/>
    <w:rsid w:val="005B3EA6"/>
    <w:rsid w:val="005B4CA3"/>
    <w:rsid w:val="005B74C7"/>
    <w:rsid w:val="005C021C"/>
    <w:rsid w:val="005C0632"/>
    <w:rsid w:val="005C1394"/>
    <w:rsid w:val="005C4A85"/>
    <w:rsid w:val="005C5B1A"/>
    <w:rsid w:val="005C5E6A"/>
    <w:rsid w:val="005C6105"/>
    <w:rsid w:val="005C72EB"/>
    <w:rsid w:val="005D08AC"/>
    <w:rsid w:val="005D1682"/>
    <w:rsid w:val="005D3A0D"/>
    <w:rsid w:val="005D4027"/>
    <w:rsid w:val="005D40CF"/>
    <w:rsid w:val="005D4537"/>
    <w:rsid w:val="005D52D8"/>
    <w:rsid w:val="005D5358"/>
    <w:rsid w:val="005D68A6"/>
    <w:rsid w:val="005D7624"/>
    <w:rsid w:val="005E17EC"/>
    <w:rsid w:val="005E6F03"/>
    <w:rsid w:val="005E7B53"/>
    <w:rsid w:val="005F1BC0"/>
    <w:rsid w:val="005F2998"/>
    <w:rsid w:val="005F34FE"/>
    <w:rsid w:val="005F37AE"/>
    <w:rsid w:val="005F5474"/>
    <w:rsid w:val="005F55BC"/>
    <w:rsid w:val="006062D5"/>
    <w:rsid w:val="0060634E"/>
    <w:rsid w:val="00607ACB"/>
    <w:rsid w:val="00607AE6"/>
    <w:rsid w:val="0061131E"/>
    <w:rsid w:val="0061253C"/>
    <w:rsid w:val="00614425"/>
    <w:rsid w:val="0061567C"/>
    <w:rsid w:val="006161D3"/>
    <w:rsid w:val="006170B3"/>
    <w:rsid w:val="00617685"/>
    <w:rsid w:val="00620C74"/>
    <w:rsid w:val="00621492"/>
    <w:rsid w:val="00621B0E"/>
    <w:rsid w:val="006245C2"/>
    <w:rsid w:val="006271F5"/>
    <w:rsid w:val="006338A1"/>
    <w:rsid w:val="00640243"/>
    <w:rsid w:val="0064154E"/>
    <w:rsid w:val="0064330A"/>
    <w:rsid w:val="006437E8"/>
    <w:rsid w:val="006452A8"/>
    <w:rsid w:val="00647D45"/>
    <w:rsid w:val="006503C0"/>
    <w:rsid w:val="0065047B"/>
    <w:rsid w:val="00652CA6"/>
    <w:rsid w:val="006530BB"/>
    <w:rsid w:val="006539AE"/>
    <w:rsid w:val="00653BAE"/>
    <w:rsid w:val="00654467"/>
    <w:rsid w:val="00657047"/>
    <w:rsid w:val="00657DEB"/>
    <w:rsid w:val="0066035D"/>
    <w:rsid w:val="0066535B"/>
    <w:rsid w:val="00665813"/>
    <w:rsid w:val="00667994"/>
    <w:rsid w:val="00667C30"/>
    <w:rsid w:val="00672CE8"/>
    <w:rsid w:val="00672EE7"/>
    <w:rsid w:val="006732DE"/>
    <w:rsid w:val="00673AB1"/>
    <w:rsid w:val="0067461F"/>
    <w:rsid w:val="00676000"/>
    <w:rsid w:val="00676261"/>
    <w:rsid w:val="0068076B"/>
    <w:rsid w:val="006821B8"/>
    <w:rsid w:val="00686389"/>
    <w:rsid w:val="00686530"/>
    <w:rsid w:val="00687204"/>
    <w:rsid w:val="00687447"/>
    <w:rsid w:val="00690F34"/>
    <w:rsid w:val="00694179"/>
    <w:rsid w:val="00694256"/>
    <w:rsid w:val="006969C3"/>
    <w:rsid w:val="006971FA"/>
    <w:rsid w:val="006A0D51"/>
    <w:rsid w:val="006A1F7B"/>
    <w:rsid w:val="006A4739"/>
    <w:rsid w:val="006A538B"/>
    <w:rsid w:val="006A7430"/>
    <w:rsid w:val="006B3439"/>
    <w:rsid w:val="006C171B"/>
    <w:rsid w:val="006C3050"/>
    <w:rsid w:val="006C4B67"/>
    <w:rsid w:val="006C631D"/>
    <w:rsid w:val="006D03CC"/>
    <w:rsid w:val="006D0D4D"/>
    <w:rsid w:val="006D17AF"/>
    <w:rsid w:val="006D7D4D"/>
    <w:rsid w:val="006E09B6"/>
    <w:rsid w:val="006E0B25"/>
    <w:rsid w:val="006E3225"/>
    <w:rsid w:val="006E4020"/>
    <w:rsid w:val="006E520F"/>
    <w:rsid w:val="006E5F6D"/>
    <w:rsid w:val="006F07C1"/>
    <w:rsid w:val="006F0A04"/>
    <w:rsid w:val="006F48F9"/>
    <w:rsid w:val="006F6382"/>
    <w:rsid w:val="0070083B"/>
    <w:rsid w:val="00706036"/>
    <w:rsid w:val="00712536"/>
    <w:rsid w:val="00713AB4"/>
    <w:rsid w:val="00714745"/>
    <w:rsid w:val="007163BD"/>
    <w:rsid w:val="0071700F"/>
    <w:rsid w:val="00717C17"/>
    <w:rsid w:val="00720282"/>
    <w:rsid w:val="00720644"/>
    <w:rsid w:val="00722029"/>
    <w:rsid w:val="0072264D"/>
    <w:rsid w:val="0072603C"/>
    <w:rsid w:val="00727BF8"/>
    <w:rsid w:val="00727EC5"/>
    <w:rsid w:val="00730BC8"/>
    <w:rsid w:val="00732C2A"/>
    <w:rsid w:val="00732C53"/>
    <w:rsid w:val="00734859"/>
    <w:rsid w:val="00735C0A"/>
    <w:rsid w:val="007361A5"/>
    <w:rsid w:val="0073717C"/>
    <w:rsid w:val="0074163F"/>
    <w:rsid w:val="00743D0B"/>
    <w:rsid w:val="00744B67"/>
    <w:rsid w:val="007450EF"/>
    <w:rsid w:val="00745F0B"/>
    <w:rsid w:val="007474F9"/>
    <w:rsid w:val="00747999"/>
    <w:rsid w:val="007511CB"/>
    <w:rsid w:val="00751303"/>
    <w:rsid w:val="00754E25"/>
    <w:rsid w:val="00757E28"/>
    <w:rsid w:val="00763BB8"/>
    <w:rsid w:val="007666AB"/>
    <w:rsid w:val="00771649"/>
    <w:rsid w:val="00772A6D"/>
    <w:rsid w:val="0077372D"/>
    <w:rsid w:val="007744F9"/>
    <w:rsid w:val="00777310"/>
    <w:rsid w:val="00777A04"/>
    <w:rsid w:val="00782060"/>
    <w:rsid w:val="00783193"/>
    <w:rsid w:val="00783A8D"/>
    <w:rsid w:val="00783BD7"/>
    <w:rsid w:val="0078613E"/>
    <w:rsid w:val="00787230"/>
    <w:rsid w:val="00787F64"/>
    <w:rsid w:val="0079074A"/>
    <w:rsid w:val="00790788"/>
    <w:rsid w:val="00791A62"/>
    <w:rsid w:val="00791B68"/>
    <w:rsid w:val="00793A8F"/>
    <w:rsid w:val="00793B20"/>
    <w:rsid w:val="00793DCA"/>
    <w:rsid w:val="00794056"/>
    <w:rsid w:val="0079435E"/>
    <w:rsid w:val="0079552E"/>
    <w:rsid w:val="007A36E0"/>
    <w:rsid w:val="007A382D"/>
    <w:rsid w:val="007A5B23"/>
    <w:rsid w:val="007A5E4F"/>
    <w:rsid w:val="007A7585"/>
    <w:rsid w:val="007B2BC8"/>
    <w:rsid w:val="007B317F"/>
    <w:rsid w:val="007B3723"/>
    <w:rsid w:val="007B3B4C"/>
    <w:rsid w:val="007B4465"/>
    <w:rsid w:val="007B5F7B"/>
    <w:rsid w:val="007B7DA9"/>
    <w:rsid w:val="007C108F"/>
    <w:rsid w:val="007C46AE"/>
    <w:rsid w:val="007C4706"/>
    <w:rsid w:val="007C4C77"/>
    <w:rsid w:val="007C5ABA"/>
    <w:rsid w:val="007C5AEB"/>
    <w:rsid w:val="007C7495"/>
    <w:rsid w:val="007D0BDB"/>
    <w:rsid w:val="007D1F92"/>
    <w:rsid w:val="007D42D6"/>
    <w:rsid w:val="007D5219"/>
    <w:rsid w:val="007D53CD"/>
    <w:rsid w:val="007D546F"/>
    <w:rsid w:val="007E0746"/>
    <w:rsid w:val="007E1550"/>
    <w:rsid w:val="007E1B50"/>
    <w:rsid w:val="007E3E24"/>
    <w:rsid w:val="007E3FE3"/>
    <w:rsid w:val="007E4708"/>
    <w:rsid w:val="007E4CED"/>
    <w:rsid w:val="007E52FC"/>
    <w:rsid w:val="007E52FF"/>
    <w:rsid w:val="007F16F7"/>
    <w:rsid w:val="007F2D6B"/>
    <w:rsid w:val="007F3813"/>
    <w:rsid w:val="007F41FC"/>
    <w:rsid w:val="007F4F1F"/>
    <w:rsid w:val="007F5812"/>
    <w:rsid w:val="00802132"/>
    <w:rsid w:val="00803B32"/>
    <w:rsid w:val="00804C54"/>
    <w:rsid w:val="00806FE2"/>
    <w:rsid w:val="00810917"/>
    <w:rsid w:val="00811248"/>
    <w:rsid w:val="0081250C"/>
    <w:rsid w:val="00813499"/>
    <w:rsid w:val="008137E5"/>
    <w:rsid w:val="00814E96"/>
    <w:rsid w:val="00815393"/>
    <w:rsid w:val="008160E5"/>
    <w:rsid w:val="008164FE"/>
    <w:rsid w:val="00817995"/>
    <w:rsid w:val="00817F69"/>
    <w:rsid w:val="0082199B"/>
    <w:rsid w:val="00822C3F"/>
    <w:rsid w:val="00824CEF"/>
    <w:rsid w:val="008267AA"/>
    <w:rsid w:val="0083019F"/>
    <w:rsid w:val="00830CBB"/>
    <w:rsid w:val="00830E61"/>
    <w:rsid w:val="00831292"/>
    <w:rsid w:val="00831FD7"/>
    <w:rsid w:val="00833982"/>
    <w:rsid w:val="008344A2"/>
    <w:rsid w:val="00840015"/>
    <w:rsid w:val="0084067B"/>
    <w:rsid w:val="00840C1B"/>
    <w:rsid w:val="00840C93"/>
    <w:rsid w:val="00840D15"/>
    <w:rsid w:val="00845F48"/>
    <w:rsid w:val="008473E2"/>
    <w:rsid w:val="00851E51"/>
    <w:rsid w:val="0085301E"/>
    <w:rsid w:val="00855D44"/>
    <w:rsid w:val="00856603"/>
    <w:rsid w:val="00857028"/>
    <w:rsid w:val="008570A0"/>
    <w:rsid w:val="00857911"/>
    <w:rsid w:val="00860171"/>
    <w:rsid w:val="00861665"/>
    <w:rsid w:val="00862BE2"/>
    <w:rsid w:val="00863731"/>
    <w:rsid w:val="00864C13"/>
    <w:rsid w:val="00865DEE"/>
    <w:rsid w:val="00866210"/>
    <w:rsid w:val="008703E1"/>
    <w:rsid w:val="008717D8"/>
    <w:rsid w:val="008721C4"/>
    <w:rsid w:val="0087631B"/>
    <w:rsid w:val="00877C5A"/>
    <w:rsid w:val="00880100"/>
    <w:rsid w:val="008832E9"/>
    <w:rsid w:val="00886A7F"/>
    <w:rsid w:val="008871DA"/>
    <w:rsid w:val="00891B06"/>
    <w:rsid w:val="0089286C"/>
    <w:rsid w:val="00892F3E"/>
    <w:rsid w:val="00893761"/>
    <w:rsid w:val="00895D1B"/>
    <w:rsid w:val="008A0906"/>
    <w:rsid w:val="008A5224"/>
    <w:rsid w:val="008A700E"/>
    <w:rsid w:val="008B008F"/>
    <w:rsid w:val="008B2802"/>
    <w:rsid w:val="008B3565"/>
    <w:rsid w:val="008B4A4C"/>
    <w:rsid w:val="008B507C"/>
    <w:rsid w:val="008B56B9"/>
    <w:rsid w:val="008B5747"/>
    <w:rsid w:val="008B640D"/>
    <w:rsid w:val="008C103A"/>
    <w:rsid w:val="008C1551"/>
    <w:rsid w:val="008C2890"/>
    <w:rsid w:val="008C32AC"/>
    <w:rsid w:val="008D0C67"/>
    <w:rsid w:val="008D309A"/>
    <w:rsid w:val="008D347F"/>
    <w:rsid w:val="008D43B6"/>
    <w:rsid w:val="008D45FF"/>
    <w:rsid w:val="008D4EB0"/>
    <w:rsid w:val="008D6341"/>
    <w:rsid w:val="008D65C3"/>
    <w:rsid w:val="008E19DA"/>
    <w:rsid w:val="008E1C2D"/>
    <w:rsid w:val="008E2523"/>
    <w:rsid w:val="008E35D4"/>
    <w:rsid w:val="008E3876"/>
    <w:rsid w:val="008E444C"/>
    <w:rsid w:val="008E451E"/>
    <w:rsid w:val="008E7EF5"/>
    <w:rsid w:val="008F4BFD"/>
    <w:rsid w:val="008F5255"/>
    <w:rsid w:val="008F63C2"/>
    <w:rsid w:val="008F72A5"/>
    <w:rsid w:val="00900E1C"/>
    <w:rsid w:val="009029B8"/>
    <w:rsid w:val="009036E9"/>
    <w:rsid w:val="00905514"/>
    <w:rsid w:val="00906974"/>
    <w:rsid w:val="00906B85"/>
    <w:rsid w:val="00907CEB"/>
    <w:rsid w:val="00910224"/>
    <w:rsid w:val="009107C6"/>
    <w:rsid w:val="0091427D"/>
    <w:rsid w:val="00914F7C"/>
    <w:rsid w:val="0091518F"/>
    <w:rsid w:val="00920186"/>
    <w:rsid w:val="00921527"/>
    <w:rsid w:val="00923D50"/>
    <w:rsid w:val="00924B1D"/>
    <w:rsid w:val="009265EE"/>
    <w:rsid w:val="009321C8"/>
    <w:rsid w:val="00932420"/>
    <w:rsid w:val="0093542F"/>
    <w:rsid w:val="00935DE6"/>
    <w:rsid w:val="009365C0"/>
    <w:rsid w:val="00937152"/>
    <w:rsid w:val="009407A3"/>
    <w:rsid w:val="00942F52"/>
    <w:rsid w:val="00946F9D"/>
    <w:rsid w:val="00947FD4"/>
    <w:rsid w:val="00952C52"/>
    <w:rsid w:val="009532B0"/>
    <w:rsid w:val="0095332C"/>
    <w:rsid w:val="00955D9D"/>
    <w:rsid w:val="00956894"/>
    <w:rsid w:val="00956CB0"/>
    <w:rsid w:val="00962969"/>
    <w:rsid w:val="00964C2C"/>
    <w:rsid w:val="00964F2B"/>
    <w:rsid w:val="0096570B"/>
    <w:rsid w:val="00965F24"/>
    <w:rsid w:val="00966BF0"/>
    <w:rsid w:val="00970EA8"/>
    <w:rsid w:val="009773EF"/>
    <w:rsid w:val="00977DAE"/>
    <w:rsid w:val="00982611"/>
    <w:rsid w:val="00982EB7"/>
    <w:rsid w:val="00984F34"/>
    <w:rsid w:val="00985974"/>
    <w:rsid w:val="009910F5"/>
    <w:rsid w:val="00997F08"/>
    <w:rsid w:val="009A07FE"/>
    <w:rsid w:val="009A0C30"/>
    <w:rsid w:val="009A0CAB"/>
    <w:rsid w:val="009A2A9C"/>
    <w:rsid w:val="009A31FF"/>
    <w:rsid w:val="009A4D4C"/>
    <w:rsid w:val="009A6B58"/>
    <w:rsid w:val="009A7206"/>
    <w:rsid w:val="009A7ED7"/>
    <w:rsid w:val="009B5253"/>
    <w:rsid w:val="009B6487"/>
    <w:rsid w:val="009B7BE1"/>
    <w:rsid w:val="009C0D93"/>
    <w:rsid w:val="009C10BD"/>
    <w:rsid w:val="009C159E"/>
    <w:rsid w:val="009C236A"/>
    <w:rsid w:val="009C3906"/>
    <w:rsid w:val="009C3C4D"/>
    <w:rsid w:val="009C504A"/>
    <w:rsid w:val="009C680D"/>
    <w:rsid w:val="009C70C1"/>
    <w:rsid w:val="009D0400"/>
    <w:rsid w:val="009D0690"/>
    <w:rsid w:val="009D64C9"/>
    <w:rsid w:val="009D6BF8"/>
    <w:rsid w:val="009D7489"/>
    <w:rsid w:val="009D75CD"/>
    <w:rsid w:val="009E017B"/>
    <w:rsid w:val="009E1B68"/>
    <w:rsid w:val="009E4206"/>
    <w:rsid w:val="009E5697"/>
    <w:rsid w:val="009E6AEA"/>
    <w:rsid w:val="009E6E64"/>
    <w:rsid w:val="009E7191"/>
    <w:rsid w:val="009E7790"/>
    <w:rsid w:val="009F005E"/>
    <w:rsid w:val="009F0EB5"/>
    <w:rsid w:val="009F3D5C"/>
    <w:rsid w:val="009F43BD"/>
    <w:rsid w:val="009F5A8D"/>
    <w:rsid w:val="009F6456"/>
    <w:rsid w:val="009F7137"/>
    <w:rsid w:val="009F756E"/>
    <w:rsid w:val="00A0053D"/>
    <w:rsid w:val="00A01CA6"/>
    <w:rsid w:val="00A02ADB"/>
    <w:rsid w:val="00A02B0E"/>
    <w:rsid w:val="00A0479B"/>
    <w:rsid w:val="00A05BA4"/>
    <w:rsid w:val="00A11EB2"/>
    <w:rsid w:val="00A12258"/>
    <w:rsid w:val="00A13B45"/>
    <w:rsid w:val="00A14FEB"/>
    <w:rsid w:val="00A15588"/>
    <w:rsid w:val="00A15A89"/>
    <w:rsid w:val="00A1644B"/>
    <w:rsid w:val="00A1662F"/>
    <w:rsid w:val="00A218AA"/>
    <w:rsid w:val="00A2419A"/>
    <w:rsid w:val="00A2547B"/>
    <w:rsid w:val="00A30206"/>
    <w:rsid w:val="00A30D2E"/>
    <w:rsid w:val="00A31F2E"/>
    <w:rsid w:val="00A33278"/>
    <w:rsid w:val="00A33E31"/>
    <w:rsid w:val="00A3619D"/>
    <w:rsid w:val="00A374C4"/>
    <w:rsid w:val="00A37DAA"/>
    <w:rsid w:val="00A406C1"/>
    <w:rsid w:val="00A421B6"/>
    <w:rsid w:val="00A4267F"/>
    <w:rsid w:val="00A42FB5"/>
    <w:rsid w:val="00A44AC1"/>
    <w:rsid w:val="00A45FE6"/>
    <w:rsid w:val="00A46208"/>
    <w:rsid w:val="00A4629B"/>
    <w:rsid w:val="00A46D45"/>
    <w:rsid w:val="00A471B7"/>
    <w:rsid w:val="00A473FD"/>
    <w:rsid w:val="00A5208E"/>
    <w:rsid w:val="00A55767"/>
    <w:rsid w:val="00A56B6E"/>
    <w:rsid w:val="00A6095E"/>
    <w:rsid w:val="00A61D1E"/>
    <w:rsid w:val="00A63112"/>
    <w:rsid w:val="00A636F0"/>
    <w:rsid w:val="00A6722C"/>
    <w:rsid w:val="00A711C4"/>
    <w:rsid w:val="00A746D5"/>
    <w:rsid w:val="00A75376"/>
    <w:rsid w:val="00A75CB1"/>
    <w:rsid w:val="00A77442"/>
    <w:rsid w:val="00A80497"/>
    <w:rsid w:val="00A82FE5"/>
    <w:rsid w:val="00A83EB2"/>
    <w:rsid w:val="00A85C6B"/>
    <w:rsid w:val="00A8654D"/>
    <w:rsid w:val="00A86788"/>
    <w:rsid w:val="00A86FFE"/>
    <w:rsid w:val="00A914CB"/>
    <w:rsid w:val="00A92096"/>
    <w:rsid w:val="00A93581"/>
    <w:rsid w:val="00AA1551"/>
    <w:rsid w:val="00AA1FEF"/>
    <w:rsid w:val="00AA2D79"/>
    <w:rsid w:val="00AA2D8B"/>
    <w:rsid w:val="00AA5341"/>
    <w:rsid w:val="00AA6C35"/>
    <w:rsid w:val="00AB1556"/>
    <w:rsid w:val="00AB257A"/>
    <w:rsid w:val="00AB262C"/>
    <w:rsid w:val="00AB2D64"/>
    <w:rsid w:val="00AB5385"/>
    <w:rsid w:val="00AB67A9"/>
    <w:rsid w:val="00AB7926"/>
    <w:rsid w:val="00AB7A86"/>
    <w:rsid w:val="00AC06B0"/>
    <w:rsid w:val="00AC0DD4"/>
    <w:rsid w:val="00AC0FFB"/>
    <w:rsid w:val="00AC2310"/>
    <w:rsid w:val="00AC332F"/>
    <w:rsid w:val="00AC3343"/>
    <w:rsid w:val="00AC5948"/>
    <w:rsid w:val="00AC6ED4"/>
    <w:rsid w:val="00AD27D3"/>
    <w:rsid w:val="00AD4778"/>
    <w:rsid w:val="00AD624E"/>
    <w:rsid w:val="00AD7D7F"/>
    <w:rsid w:val="00AD7E6A"/>
    <w:rsid w:val="00AE7FDE"/>
    <w:rsid w:val="00AF01FA"/>
    <w:rsid w:val="00AF098A"/>
    <w:rsid w:val="00AF277D"/>
    <w:rsid w:val="00AF286B"/>
    <w:rsid w:val="00AF4A51"/>
    <w:rsid w:val="00AF738A"/>
    <w:rsid w:val="00AF7BD8"/>
    <w:rsid w:val="00AF7E77"/>
    <w:rsid w:val="00B00EEA"/>
    <w:rsid w:val="00B0257B"/>
    <w:rsid w:val="00B05EE8"/>
    <w:rsid w:val="00B06C2D"/>
    <w:rsid w:val="00B10EDF"/>
    <w:rsid w:val="00B12EA3"/>
    <w:rsid w:val="00B13012"/>
    <w:rsid w:val="00B16550"/>
    <w:rsid w:val="00B16A24"/>
    <w:rsid w:val="00B20839"/>
    <w:rsid w:val="00B21A5B"/>
    <w:rsid w:val="00B21E14"/>
    <w:rsid w:val="00B24313"/>
    <w:rsid w:val="00B24725"/>
    <w:rsid w:val="00B269EA"/>
    <w:rsid w:val="00B309B3"/>
    <w:rsid w:val="00B31060"/>
    <w:rsid w:val="00B315A7"/>
    <w:rsid w:val="00B318EF"/>
    <w:rsid w:val="00B34607"/>
    <w:rsid w:val="00B35606"/>
    <w:rsid w:val="00B366EC"/>
    <w:rsid w:val="00B41DB2"/>
    <w:rsid w:val="00B4208D"/>
    <w:rsid w:val="00B4312C"/>
    <w:rsid w:val="00B440E9"/>
    <w:rsid w:val="00B4427D"/>
    <w:rsid w:val="00B456CF"/>
    <w:rsid w:val="00B456F4"/>
    <w:rsid w:val="00B4615F"/>
    <w:rsid w:val="00B46B1C"/>
    <w:rsid w:val="00B5034F"/>
    <w:rsid w:val="00B512BC"/>
    <w:rsid w:val="00B51F39"/>
    <w:rsid w:val="00B52455"/>
    <w:rsid w:val="00B527CA"/>
    <w:rsid w:val="00B536E3"/>
    <w:rsid w:val="00B5452C"/>
    <w:rsid w:val="00B552BA"/>
    <w:rsid w:val="00B6588B"/>
    <w:rsid w:val="00B67B33"/>
    <w:rsid w:val="00B7043D"/>
    <w:rsid w:val="00B71D47"/>
    <w:rsid w:val="00B72060"/>
    <w:rsid w:val="00B73DC9"/>
    <w:rsid w:val="00B74A57"/>
    <w:rsid w:val="00B80A94"/>
    <w:rsid w:val="00B87B2F"/>
    <w:rsid w:val="00B916D3"/>
    <w:rsid w:val="00B91BA4"/>
    <w:rsid w:val="00B91E0D"/>
    <w:rsid w:val="00B9328B"/>
    <w:rsid w:val="00B943B4"/>
    <w:rsid w:val="00B94823"/>
    <w:rsid w:val="00B94F0A"/>
    <w:rsid w:val="00B959CA"/>
    <w:rsid w:val="00B96314"/>
    <w:rsid w:val="00B9648D"/>
    <w:rsid w:val="00B979B0"/>
    <w:rsid w:val="00B97D84"/>
    <w:rsid w:val="00BA0077"/>
    <w:rsid w:val="00BA38C2"/>
    <w:rsid w:val="00BA3E94"/>
    <w:rsid w:val="00BA47D9"/>
    <w:rsid w:val="00BA6539"/>
    <w:rsid w:val="00BA6AEE"/>
    <w:rsid w:val="00BA7B4E"/>
    <w:rsid w:val="00BB01D3"/>
    <w:rsid w:val="00BB1B85"/>
    <w:rsid w:val="00BB3186"/>
    <w:rsid w:val="00BB58BF"/>
    <w:rsid w:val="00BB5F30"/>
    <w:rsid w:val="00BB7C9F"/>
    <w:rsid w:val="00BB7F98"/>
    <w:rsid w:val="00BC07F6"/>
    <w:rsid w:val="00BC0FBB"/>
    <w:rsid w:val="00BC2259"/>
    <w:rsid w:val="00BC2377"/>
    <w:rsid w:val="00BC448D"/>
    <w:rsid w:val="00BC4529"/>
    <w:rsid w:val="00BC6931"/>
    <w:rsid w:val="00BD0E21"/>
    <w:rsid w:val="00BD5E00"/>
    <w:rsid w:val="00BE04CA"/>
    <w:rsid w:val="00BE1F00"/>
    <w:rsid w:val="00BE2963"/>
    <w:rsid w:val="00BE3172"/>
    <w:rsid w:val="00BE3D0C"/>
    <w:rsid w:val="00BE673F"/>
    <w:rsid w:val="00BE7821"/>
    <w:rsid w:val="00BF01BF"/>
    <w:rsid w:val="00BF4B96"/>
    <w:rsid w:val="00BF535A"/>
    <w:rsid w:val="00BF58DD"/>
    <w:rsid w:val="00BF62FD"/>
    <w:rsid w:val="00BF6798"/>
    <w:rsid w:val="00BF6B7F"/>
    <w:rsid w:val="00C059D9"/>
    <w:rsid w:val="00C06DB6"/>
    <w:rsid w:val="00C07EBD"/>
    <w:rsid w:val="00C10A70"/>
    <w:rsid w:val="00C12C0B"/>
    <w:rsid w:val="00C16A46"/>
    <w:rsid w:val="00C214B2"/>
    <w:rsid w:val="00C22555"/>
    <w:rsid w:val="00C23AEE"/>
    <w:rsid w:val="00C26790"/>
    <w:rsid w:val="00C26B5B"/>
    <w:rsid w:val="00C26DA5"/>
    <w:rsid w:val="00C2718D"/>
    <w:rsid w:val="00C309B4"/>
    <w:rsid w:val="00C32CAB"/>
    <w:rsid w:val="00C3572F"/>
    <w:rsid w:val="00C35D48"/>
    <w:rsid w:val="00C361B3"/>
    <w:rsid w:val="00C373C0"/>
    <w:rsid w:val="00C4123D"/>
    <w:rsid w:val="00C41F98"/>
    <w:rsid w:val="00C43D08"/>
    <w:rsid w:val="00C464CA"/>
    <w:rsid w:val="00C46B44"/>
    <w:rsid w:val="00C50153"/>
    <w:rsid w:val="00C51B67"/>
    <w:rsid w:val="00C54670"/>
    <w:rsid w:val="00C56CEC"/>
    <w:rsid w:val="00C57DA0"/>
    <w:rsid w:val="00C63FE0"/>
    <w:rsid w:val="00C6442E"/>
    <w:rsid w:val="00C70A06"/>
    <w:rsid w:val="00C713A4"/>
    <w:rsid w:val="00C754CA"/>
    <w:rsid w:val="00C76B1E"/>
    <w:rsid w:val="00C7745A"/>
    <w:rsid w:val="00C7756D"/>
    <w:rsid w:val="00C77977"/>
    <w:rsid w:val="00C812EE"/>
    <w:rsid w:val="00C86338"/>
    <w:rsid w:val="00C86452"/>
    <w:rsid w:val="00C91356"/>
    <w:rsid w:val="00C9193E"/>
    <w:rsid w:val="00C95337"/>
    <w:rsid w:val="00CA0D43"/>
    <w:rsid w:val="00CA38C3"/>
    <w:rsid w:val="00CA5AB5"/>
    <w:rsid w:val="00CA6217"/>
    <w:rsid w:val="00CB2EEE"/>
    <w:rsid w:val="00CB31A6"/>
    <w:rsid w:val="00CB3D11"/>
    <w:rsid w:val="00CB4321"/>
    <w:rsid w:val="00CB5837"/>
    <w:rsid w:val="00CB74CD"/>
    <w:rsid w:val="00CB79F3"/>
    <w:rsid w:val="00CB7B32"/>
    <w:rsid w:val="00CB7E8B"/>
    <w:rsid w:val="00CC1797"/>
    <w:rsid w:val="00CC2F70"/>
    <w:rsid w:val="00CC4F56"/>
    <w:rsid w:val="00CC51BC"/>
    <w:rsid w:val="00CC5B2C"/>
    <w:rsid w:val="00CC5DE6"/>
    <w:rsid w:val="00CC61C7"/>
    <w:rsid w:val="00CC66D9"/>
    <w:rsid w:val="00CC71CF"/>
    <w:rsid w:val="00CC71EF"/>
    <w:rsid w:val="00CD06E9"/>
    <w:rsid w:val="00CD4D7D"/>
    <w:rsid w:val="00CD5E0B"/>
    <w:rsid w:val="00CD6922"/>
    <w:rsid w:val="00CE036E"/>
    <w:rsid w:val="00CE073A"/>
    <w:rsid w:val="00CE0E24"/>
    <w:rsid w:val="00CE153D"/>
    <w:rsid w:val="00CE47E9"/>
    <w:rsid w:val="00CF03B1"/>
    <w:rsid w:val="00CF06DF"/>
    <w:rsid w:val="00CF288F"/>
    <w:rsid w:val="00CF2E78"/>
    <w:rsid w:val="00CF4148"/>
    <w:rsid w:val="00CF549A"/>
    <w:rsid w:val="00CF60D7"/>
    <w:rsid w:val="00CF7B49"/>
    <w:rsid w:val="00CF7D22"/>
    <w:rsid w:val="00D043F0"/>
    <w:rsid w:val="00D06617"/>
    <w:rsid w:val="00D067B5"/>
    <w:rsid w:val="00D07855"/>
    <w:rsid w:val="00D07D32"/>
    <w:rsid w:val="00D1684A"/>
    <w:rsid w:val="00D200AC"/>
    <w:rsid w:val="00D22BAA"/>
    <w:rsid w:val="00D23763"/>
    <w:rsid w:val="00D23EE7"/>
    <w:rsid w:val="00D24EE3"/>
    <w:rsid w:val="00D27FCA"/>
    <w:rsid w:val="00D30103"/>
    <w:rsid w:val="00D311F3"/>
    <w:rsid w:val="00D32D67"/>
    <w:rsid w:val="00D33B99"/>
    <w:rsid w:val="00D34182"/>
    <w:rsid w:val="00D350DB"/>
    <w:rsid w:val="00D35210"/>
    <w:rsid w:val="00D3606F"/>
    <w:rsid w:val="00D4139C"/>
    <w:rsid w:val="00D428E1"/>
    <w:rsid w:val="00D432A5"/>
    <w:rsid w:val="00D47860"/>
    <w:rsid w:val="00D50079"/>
    <w:rsid w:val="00D5045C"/>
    <w:rsid w:val="00D519A5"/>
    <w:rsid w:val="00D54F2D"/>
    <w:rsid w:val="00D56349"/>
    <w:rsid w:val="00D62A23"/>
    <w:rsid w:val="00D62AEA"/>
    <w:rsid w:val="00D62CD3"/>
    <w:rsid w:val="00D6742E"/>
    <w:rsid w:val="00D67FB3"/>
    <w:rsid w:val="00D71232"/>
    <w:rsid w:val="00D738AF"/>
    <w:rsid w:val="00D74802"/>
    <w:rsid w:val="00D75C28"/>
    <w:rsid w:val="00D7741D"/>
    <w:rsid w:val="00D77BF2"/>
    <w:rsid w:val="00D77DDD"/>
    <w:rsid w:val="00D80FD5"/>
    <w:rsid w:val="00D83561"/>
    <w:rsid w:val="00D83E62"/>
    <w:rsid w:val="00D843F0"/>
    <w:rsid w:val="00D84BD5"/>
    <w:rsid w:val="00D855EB"/>
    <w:rsid w:val="00D87040"/>
    <w:rsid w:val="00D921EF"/>
    <w:rsid w:val="00D9243E"/>
    <w:rsid w:val="00D94822"/>
    <w:rsid w:val="00D968D7"/>
    <w:rsid w:val="00D9759B"/>
    <w:rsid w:val="00DA021C"/>
    <w:rsid w:val="00DA07ED"/>
    <w:rsid w:val="00DA7B01"/>
    <w:rsid w:val="00DB12EA"/>
    <w:rsid w:val="00DB3B57"/>
    <w:rsid w:val="00DB41D4"/>
    <w:rsid w:val="00DB5167"/>
    <w:rsid w:val="00DB7A37"/>
    <w:rsid w:val="00DC05F6"/>
    <w:rsid w:val="00DC10EC"/>
    <w:rsid w:val="00DC2B48"/>
    <w:rsid w:val="00DC3275"/>
    <w:rsid w:val="00DC3316"/>
    <w:rsid w:val="00DC579B"/>
    <w:rsid w:val="00DC7200"/>
    <w:rsid w:val="00DC77FC"/>
    <w:rsid w:val="00DC7DBB"/>
    <w:rsid w:val="00DD116F"/>
    <w:rsid w:val="00DD2A27"/>
    <w:rsid w:val="00DD2B37"/>
    <w:rsid w:val="00DD5012"/>
    <w:rsid w:val="00DD7437"/>
    <w:rsid w:val="00DD7F05"/>
    <w:rsid w:val="00DE01C6"/>
    <w:rsid w:val="00DE0819"/>
    <w:rsid w:val="00DE2717"/>
    <w:rsid w:val="00DE2A92"/>
    <w:rsid w:val="00DE46FB"/>
    <w:rsid w:val="00DE521F"/>
    <w:rsid w:val="00DE66E7"/>
    <w:rsid w:val="00DE7923"/>
    <w:rsid w:val="00DE7DC8"/>
    <w:rsid w:val="00DF055D"/>
    <w:rsid w:val="00DF1CAD"/>
    <w:rsid w:val="00DF27C5"/>
    <w:rsid w:val="00DF30DA"/>
    <w:rsid w:val="00DF3E6E"/>
    <w:rsid w:val="00DF4004"/>
    <w:rsid w:val="00DF4733"/>
    <w:rsid w:val="00DF6334"/>
    <w:rsid w:val="00DF67EC"/>
    <w:rsid w:val="00DF6938"/>
    <w:rsid w:val="00E003D7"/>
    <w:rsid w:val="00E01B6B"/>
    <w:rsid w:val="00E03795"/>
    <w:rsid w:val="00E05212"/>
    <w:rsid w:val="00E05940"/>
    <w:rsid w:val="00E060A2"/>
    <w:rsid w:val="00E07FD3"/>
    <w:rsid w:val="00E1204A"/>
    <w:rsid w:val="00E12D51"/>
    <w:rsid w:val="00E1398B"/>
    <w:rsid w:val="00E15A78"/>
    <w:rsid w:val="00E16896"/>
    <w:rsid w:val="00E210C4"/>
    <w:rsid w:val="00E213D7"/>
    <w:rsid w:val="00E22BD2"/>
    <w:rsid w:val="00E237C9"/>
    <w:rsid w:val="00E2547E"/>
    <w:rsid w:val="00E26244"/>
    <w:rsid w:val="00E262FE"/>
    <w:rsid w:val="00E30768"/>
    <w:rsid w:val="00E32BE9"/>
    <w:rsid w:val="00E33FC9"/>
    <w:rsid w:val="00E34003"/>
    <w:rsid w:val="00E352EB"/>
    <w:rsid w:val="00E355FE"/>
    <w:rsid w:val="00E357A4"/>
    <w:rsid w:val="00E36DB3"/>
    <w:rsid w:val="00E41515"/>
    <w:rsid w:val="00E42DBF"/>
    <w:rsid w:val="00E445CD"/>
    <w:rsid w:val="00E44710"/>
    <w:rsid w:val="00E46FB8"/>
    <w:rsid w:val="00E47D25"/>
    <w:rsid w:val="00E514B2"/>
    <w:rsid w:val="00E539B0"/>
    <w:rsid w:val="00E55B87"/>
    <w:rsid w:val="00E602F4"/>
    <w:rsid w:val="00E619F4"/>
    <w:rsid w:val="00E61E58"/>
    <w:rsid w:val="00E627A3"/>
    <w:rsid w:val="00E63FBF"/>
    <w:rsid w:val="00E64A65"/>
    <w:rsid w:val="00E64DE7"/>
    <w:rsid w:val="00E65FEA"/>
    <w:rsid w:val="00E665A2"/>
    <w:rsid w:val="00E666D6"/>
    <w:rsid w:val="00E66C32"/>
    <w:rsid w:val="00E67575"/>
    <w:rsid w:val="00E67E0C"/>
    <w:rsid w:val="00E702B4"/>
    <w:rsid w:val="00E7198C"/>
    <w:rsid w:val="00E721E6"/>
    <w:rsid w:val="00E725A8"/>
    <w:rsid w:val="00E73D2B"/>
    <w:rsid w:val="00E743C7"/>
    <w:rsid w:val="00E7463E"/>
    <w:rsid w:val="00E81C09"/>
    <w:rsid w:val="00E843D5"/>
    <w:rsid w:val="00E84C0B"/>
    <w:rsid w:val="00E8521D"/>
    <w:rsid w:val="00E85EB0"/>
    <w:rsid w:val="00E85F2C"/>
    <w:rsid w:val="00E87E4F"/>
    <w:rsid w:val="00E9187B"/>
    <w:rsid w:val="00E91E20"/>
    <w:rsid w:val="00E92B08"/>
    <w:rsid w:val="00E92D2F"/>
    <w:rsid w:val="00E94590"/>
    <w:rsid w:val="00E96C75"/>
    <w:rsid w:val="00E96EFD"/>
    <w:rsid w:val="00E97A5F"/>
    <w:rsid w:val="00EA0E32"/>
    <w:rsid w:val="00EA12FE"/>
    <w:rsid w:val="00EA3D05"/>
    <w:rsid w:val="00EA6DE5"/>
    <w:rsid w:val="00EB1A5D"/>
    <w:rsid w:val="00EB1E2A"/>
    <w:rsid w:val="00EB21AA"/>
    <w:rsid w:val="00EB4D0E"/>
    <w:rsid w:val="00EB4DCA"/>
    <w:rsid w:val="00EB5B0E"/>
    <w:rsid w:val="00EC1A89"/>
    <w:rsid w:val="00EC2D25"/>
    <w:rsid w:val="00EC4D0D"/>
    <w:rsid w:val="00EC534E"/>
    <w:rsid w:val="00EC5C9F"/>
    <w:rsid w:val="00EC7FE6"/>
    <w:rsid w:val="00ED067B"/>
    <w:rsid w:val="00ED12EA"/>
    <w:rsid w:val="00ED1A89"/>
    <w:rsid w:val="00ED39F8"/>
    <w:rsid w:val="00ED3B34"/>
    <w:rsid w:val="00ED3F9D"/>
    <w:rsid w:val="00ED45E8"/>
    <w:rsid w:val="00ED53E5"/>
    <w:rsid w:val="00EE0A07"/>
    <w:rsid w:val="00EE1E08"/>
    <w:rsid w:val="00EE3E35"/>
    <w:rsid w:val="00EE4555"/>
    <w:rsid w:val="00EE4698"/>
    <w:rsid w:val="00EE6376"/>
    <w:rsid w:val="00EE6C2A"/>
    <w:rsid w:val="00EE7D2B"/>
    <w:rsid w:val="00EF1BD6"/>
    <w:rsid w:val="00EF1CB8"/>
    <w:rsid w:val="00EF1D72"/>
    <w:rsid w:val="00EF22BB"/>
    <w:rsid w:val="00EF2C91"/>
    <w:rsid w:val="00F01CD0"/>
    <w:rsid w:val="00F040AF"/>
    <w:rsid w:val="00F041A8"/>
    <w:rsid w:val="00F06253"/>
    <w:rsid w:val="00F10E07"/>
    <w:rsid w:val="00F14C42"/>
    <w:rsid w:val="00F15962"/>
    <w:rsid w:val="00F16282"/>
    <w:rsid w:val="00F23322"/>
    <w:rsid w:val="00F24314"/>
    <w:rsid w:val="00F253BB"/>
    <w:rsid w:val="00F2550D"/>
    <w:rsid w:val="00F265AE"/>
    <w:rsid w:val="00F27CE0"/>
    <w:rsid w:val="00F37610"/>
    <w:rsid w:val="00F42C6D"/>
    <w:rsid w:val="00F45E70"/>
    <w:rsid w:val="00F50D15"/>
    <w:rsid w:val="00F5124F"/>
    <w:rsid w:val="00F527A6"/>
    <w:rsid w:val="00F52847"/>
    <w:rsid w:val="00F54A82"/>
    <w:rsid w:val="00F560F6"/>
    <w:rsid w:val="00F61BA4"/>
    <w:rsid w:val="00F6314A"/>
    <w:rsid w:val="00F64C41"/>
    <w:rsid w:val="00F64E9C"/>
    <w:rsid w:val="00F655D3"/>
    <w:rsid w:val="00F700A4"/>
    <w:rsid w:val="00F735C4"/>
    <w:rsid w:val="00F7598E"/>
    <w:rsid w:val="00F815A5"/>
    <w:rsid w:val="00F83350"/>
    <w:rsid w:val="00F83C5F"/>
    <w:rsid w:val="00F84898"/>
    <w:rsid w:val="00F86F9E"/>
    <w:rsid w:val="00F905A3"/>
    <w:rsid w:val="00F90CA8"/>
    <w:rsid w:val="00F9109F"/>
    <w:rsid w:val="00F9238E"/>
    <w:rsid w:val="00F92C39"/>
    <w:rsid w:val="00F93C0A"/>
    <w:rsid w:val="00F975AB"/>
    <w:rsid w:val="00FA019D"/>
    <w:rsid w:val="00FA01F5"/>
    <w:rsid w:val="00FA1E30"/>
    <w:rsid w:val="00FA55A2"/>
    <w:rsid w:val="00FA5E51"/>
    <w:rsid w:val="00FA73BB"/>
    <w:rsid w:val="00FB17D2"/>
    <w:rsid w:val="00FB1E04"/>
    <w:rsid w:val="00FB3452"/>
    <w:rsid w:val="00FB53C2"/>
    <w:rsid w:val="00FB5BC0"/>
    <w:rsid w:val="00FB7704"/>
    <w:rsid w:val="00FB7F16"/>
    <w:rsid w:val="00FC30A9"/>
    <w:rsid w:val="00FC37AC"/>
    <w:rsid w:val="00FC47A0"/>
    <w:rsid w:val="00FC7CB9"/>
    <w:rsid w:val="00FD0141"/>
    <w:rsid w:val="00FD2519"/>
    <w:rsid w:val="00FD4364"/>
    <w:rsid w:val="00FE0AFE"/>
    <w:rsid w:val="00FE1193"/>
    <w:rsid w:val="00FE268C"/>
    <w:rsid w:val="00FE2BCB"/>
    <w:rsid w:val="00FE3E5B"/>
    <w:rsid w:val="00FE45B0"/>
    <w:rsid w:val="00FE4C3E"/>
    <w:rsid w:val="00FE67FD"/>
    <w:rsid w:val="00FE733C"/>
    <w:rsid w:val="00FF03C1"/>
    <w:rsid w:val="00FF6520"/>
    <w:rsid w:val="00FF6EA5"/>
    <w:rsid w:val="11114CE1"/>
    <w:rsid w:val="3DCDF642"/>
    <w:rsid w:val="64165941"/>
    <w:rsid w:val="74E604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8ABED"/>
  <w15:docId w15:val="{85E192F6-B766-485A-A959-8EB8CCD4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2ADB"/>
    <w:rPr>
      <w:rFonts w:ascii="Arial" w:hAnsi="Arial"/>
      <w:sz w:val="28"/>
      <w:lang w:eastAsia="en-US"/>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uiPriority w:val="99"/>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rsid w:val="00A02ADB"/>
    <w:rPr>
      <w:rFonts w:ascii="Arial" w:hAnsi="Arial"/>
      <w:b/>
      <w:kern w:val="32"/>
      <w:sz w:val="44"/>
    </w:rPr>
  </w:style>
  <w:style w:type="character" w:customStyle="1" w:styleId="Heading2Char">
    <w:name w:val="Heading 2 Char"/>
    <w:basedOn w:val="DefaultParagraphFont"/>
    <w:link w:val="Heading2"/>
    <w:uiPriority w:val="99"/>
    <w:rsid w:val="00A02ADB"/>
    <w:rPr>
      <w:rFonts w:ascii="Arial" w:hAnsi="Arial"/>
      <w:b/>
      <w:sz w:val="36"/>
    </w:rPr>
  </w:style>
  <w:style w:type="character" w:customStyle="1" w:styleId="Heading3Char">
    <w:name w:val="Heading 3 Char"/>
    <w:basedOn w:val="DefaultParagraphFont"/>
    <w:link w:val="Heading3"/>
    <w:rsid w:val="00A02ADB"/>
    <w:rPr>
      <w:rFonts w:ascii="Arial" w:hAnsi="Arial"/>
      <w:b/>
      <w:sz w:val="32"/>
    </w:rPr>
  </w:style>
  <w:style w:type="character" w:customStyle="1" w:styleId="Heading4Char">
    <w:name w:val="Heading 4 Char"/>
    <w:basedOn w:val="DefaultParagraphFont"/>
    <w:link w:val="Heading4"/>
    <w:rsid w:val="00A02ADB"/>
    <w:rPr>
      <w:rFonts w:ascii="Arial" w:hAnsi="Arial"/>
      <w:b/>
      <w:sz w:val="28"/>
    </w:rPr>
  </w:style>
  <w:style w:type="paragraph" w:styleId="ListParagraph">
    <w:name w:val="List Paragraph"/>
    <w:basedOn w:val="Normal"/>
    <w:uiPriority w:val="34"/>
    <w:qFormat/>
    <w:rsid w:val="00A02ADB"/>
    <w:pPr>
      <w:ind w:left="720"/>
      <w:contextualSpacing/>
    </w:pPr>
  </w:style>
  <w:style w:type="table" w:styleId="TableGrid">
    <w:name w:val="Table Grid"/>
    <w:basedOn w:val="TableNormal"/>
    <w:rsid w:val="008B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24CEF"/>
    <w:pPr>
      <w:tabs>
        <w:tab w:val="right" w:leader="dot" w:pos="9016"/>
      </w:tabs>
      <w:spacing w:after="100"/>
    </w:pPr>
  </w:style>
  <w:style w:type="character" w:styleId="CommentReference">
    <w:name w:val="annotation reference"/>
    <w:basedOn w:val="DefaultParagraphFont"/>
    <w:semiHidden/>
    <w:unhideWhenUsed/>
    <w:rsid w:val="00F27CE0"/>
    <w:rPr>
      <w:sz w:val="16"/>
      <w:szCs w:val="16"/>
    </w:rPr>
  </w:style>
  <w:style w:type="paragraph" w:styleId="CommentText">
    <w:name w:val="annotation text"/>
    <w:basedOn w:val="Normal"/>
    <w:link w:val="CommentTextChar"/>
    <w:unhideWhenUsed/>
    <w:rsid w:val="00F27CE0"/>
    <w:rPr>
      <w:sz w:val="20"/>
    </w:rPr>
  </w:style>
  <w:style w:type="character" w:customStyle="1" w:styleId="CommentTextChar">
    <w:name w:val="Comment Text Char"/>
    <w:basedOn w:val="DefaultParagraphFont"/>
    <w:link w:val="CommentText"/>
    <w:rsid w:val="00F27CE0"/>
    <w:rPr>
      <w:rFonts w:ascii="Arial" w:hAnsi="Arial"/>
      <w:lang w:eastAsia="en-US"/>
    </w:rPr>
  </w:style>
  <w:style w:type="paragraph" w:styleId="CommentSubject">
    <w:name w:val="annotation subject"/>
    <w:basedOn w:val="CommentText"/>
    <w:next w:val="CommentText"/>
    <w:link w:val="CommentSubjectChar"/>
    <w:semiHidden/>
    <w:unhideWhenUsed/>
    <w:rsid w:val="00F27CE0"/>
    <w:rPr>
      <w:b/>
      <w:bCs/>
    </w:rPr>
  </w:style>
  <w:style w:type="character" w:customStyle="1" w:styleId="CommentSubjectChar">
    <w:name w:val="Comment Subject Char"/>
    <w:basedOn w:val="CommentTextChar"/>
    <w:link w:val="CommentSubject"/>
    <w:semiHidden/>
    <w:rsid w:val="00F27CE0"/>
    <w:rPr>
      <w:rFonts w:ascii="Arial" w:hAnsi="Arial"/>
      <w:b/>
      <w:bCs/>
      <w:lang w:eastAsia="en-US"/>
    </w:rPr>
  </w:style>
  <w:style w:type="paragraph" w:styleId="BalloonText">
    <w:name w:val="Balloon Text"/>
    <w:basedOn w:val="Normal"/>
    <w:link w:val="BalloonTextChar"/>
    <w:semiHidden/>
    <w:unhideWhenUsed/>
    <w:rsid w:val="00F27CE0"/>
    <w:rPr>
      <w:rFonts w:ascii="Segoe UI" w:hAnsi="Segoe UI" w:cs="Segoe UI"/>
      <w:sz w:val="18"/>
      <w:szCs w:val="18"/>
    </w:rPr>
  </w:style>
  <w:style w:type="character" w:customStyle="1" w:styleId="BalloonTextChar">
    <w:name w:val="Balloon Text Char"/>
    <w:basedOn w:val="DefaultParagraphFont"/>
    <w:link w:val="BalloonText"/>
    <w:semiHidden/>
    <w:rsid w:val="00F27CE0"/>
    <w:rPr>
      <w:rFonts w:ascii="Segoe UI" w:hAnsi="Segoe UI" w:cs="Segoe UI"/>
      <w:sz w:val="18"/>
      <w:szCs w:val="18"/>
      <w:lang w:eastAsia="en-US"/>
    </w:rPr>
  </w:style>
  <w:style w:type="paragraph" w:styleId="Revision">
    <w:name w:val="Revision"/>
    <w:hidden/>
    <w:uiPriority w:val="99"/>
    <w:semiHidden/>
    <w:rsid w:val="005F1BC0"/>
    <w:rPr>
      <w:rFonts w:ascii="Arial" w:hAnsi="Arial"/>
      <w:sz w:val="28"/>
      <w:lang w:eastAsia="en-US"/>
    </w:rPr>
  </w:style>
  <w:style w:type="paragraph" w:styleId="TOC2">
    <w:name w:val="toc 2"/>
    <w:basedOn w:val="Normal"/>
    <w:next w:val="Normal"/>
    <w:autoRedefine/>
    <w:uiPriority w:val="39"/>
    <w:unhideWhenUsed/>
    <w:rsid w:val="00AB7A86"/>
    <w:pPr>
      <w:spacing w:after="100"/>
      <w:ind w:left="280"/>
    </w:pPr>
  </w:style>
  <w:style w:type="character" w:customStyle="1" w:styleId="UnresolvedMention1">
    <w:name w:val="Unresolved Mention1"/>
    <w:basedOn w:val="DefaultParagraphFont"/>
    <w:uiPriority w:val="99"/>
    <w:semiHidden/>
    <w:unhideWhenUsed/>
    <w:rsid w:val="0014329D"/>
    <w:rPr>
      <w:color w:val="605E5C"/>
      <w:shd w:val="clear" w:color="auto" w:fill="E1DFDD"/>
    </w:rPr>
  </w:style>
  <w:style w:type="character" w:styleId="FollowedHyperlink">
    <w:name w:val="FollowedHyperlink"/>
    <w:basedOn w:val="DefaultParagraphFont"/>
    <w:semiHidden/>
    <w:unhideWhenUsed/>
    <w:rsid w:val="002A47C2"/>
    <w:rPr>
      <w:color w:val="800080" w:themeColor="followedHyperlink"/>
      <w:u w:val="single"/>
    </w:rPr>
  </w:style>
  <w:style w:type="character" w:styleId="UnresolvedMention">
    <w:name w:val="Unresolved Mention"/>
    <w:basedOn w:val="DefaultParagraphFont"/>
    <w:uiPriority w:val="99"/>
    <w:semiHidden/>
    <w:unhideWhenUsed/>
    <w:rsid w:val="00D94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625">
      <w:bodyDiv w:val="1"/>
      <w:marLeft w:val="0"/>
      <w:marRight w:val="0"/>
      <w:marTop w:val="0"/>
      <w:marBottom w:val="0"/>
      <w:divBdr>
        <w:top w:val="none" w:sz="0" w:space="0" w:color="auto"/>
        <w:left w:val="none" w:sz="0" w:space="0" w:color="auto"/>
        <w:bottom w:val="none" w:sz="0" w:space="0" w:color="auto"/>
        <w:right w:val="none" w:sz="0" w:space="0" w:color="auto"/>
      </w:divBdr>
    </w:div>
    <w:div w:id="243034831">
      <w:bodyDiv w:val="1"/>
      <w:marLeft w:val="0"/>
      <w:marRight w:val="0"/>
      <w:marTop w:val="0"/>
      <w:marBottom w:val="0"/>
      <w:divBdr>
        <w:top w:val="none" w:sz="0" w:space="0" w:color="auto"/>
        <w:left w:val="none" w:sz="0" w:space="0" w:color="auto"/>
        <w:bottom w:val="none" w:sz="0" w:space="0" w:color="auto"/>
        <w:right w:val="none" w:sz="0" w:space="0" w:color="auto"/>
      </w:divBdr>
    </w:div>
    <w:div w:id="483396335">
      <w:bodyDiv w:val="1"/>
      <w:marLeft w:val="0"/>
      <w:marRight w:val="0"/>
      <w:marTop w:val="0"/>
      <w:marBottom w:val="0"/>
      <w:divBdr>
        <w:top w:val="none" w:sz="0" w:space="0" w:color="auto"/>
        <w:left w:val="none" w:sz="0" w:space="0" w:color="auto"/>
        <w:bottom w:val="none" w:sz="0" w:space="0" w:color="auto"/>
        <w:right w:val="none" w:sz="0" w:space="0" w:color="auto"/>
      </w:divBdr>
    </w:div>
    <w:div w:id="999819212">
      <w:bodyDiv w:val="1"/>
      <w:marLeft w:val="0"/>
      <w:marRight w:val="0"/>
      <w:marTop w:val="0"/>
      <w:marBottom w:val="0"/>
      <w:divBdr>
        <w:top w:val="none" w:sz="0" w:space="0" w:color="auto"/>
        <w:left w:val="none" w:sz="0" w:space="0" w:color="auto"/>
        <w:bottom w:val="none" w:sz="0" w:space="0" w:color="auto"/>
        <w:right w:val="none" w:sz="0" w:space="0" w:color="auto"/>
      </w:divBdr>
    </w:div>
    <w:div w:id="1260066011">
      <w:bodyDiv w:val="1"/>
      <w:marLeft w:val="0"/>
      <w:marRight w:val="0"/>
      <w:marTop w:val="0"/>
      <w:marBottom w:val="0"/>
      <w:divBdr>
        <w:top w:val="none" w:sz="0" w:space="0" w:color="auto"/>
        <w:left w:val="none" w:sz="0" w:space="0" w:color="auto"/>
        <w:bottom w:val="none" w:sz="0" w:space="0" w:color="auto"/>
        <w:right w:val="none" w:sz="0" w:space="0" w:color="auto"/>
      </w:divBdr>
    </w:div>
    <w:div w:id="165348378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68887826">
      <w:bodyDiv w:val="1"/>
      <w:marLeft w:val="0"/>
      <w:marRight w:val="0"/>
      <w:marTop w:val="0"/>
      <w:marBottom w:val="0"/>
      <w:divBdr>
        <w:top w:val="none" w:sz="0" w:space="0" w:color="auto"/>
        <w:left w:val="none" w:sz="0" w:space="0" w:color="auto"/>
        <w:bottom w:val="none" w:sz="0" w:space="0" w:color="auto"/>
        <w:right w:val="none" w:sz="0" w:space="0" w:color="auto"/>
      </w:divBdr>
    </w:div>
    <w:div w:id="1843155302">
      <w:bodyDiv w:val="1"/>
      <w:marLeft w:val="0"/>
      <w:marRight w:val="0"/>
      <w:marTop w:val="0"/>
      <w:marBottom w:val="0"/>
      <w:divBdr>
        <w:top w:val="none" w:sz="0" w:space="0" w:color="auto"/>
        <w:left w:val="none" w:sz="0" w:space="0" w:color="auto"/>
        <w:bottom w:val="none" w:sz="0" w:space="0" w:color="auto"/>
        <w:right w:val="none" w:sz="0" w:space="0" w:color="auto"/>
      </w:divBdr>
    </w:div>
    <w:div w:id="1910996522">
      <w:bodyDiv w:val="1"/>
      <w:marLeft w:val="0"/>
      <w:marRight w:val="0"/>
      <w:marTop w:val="0"/>
      <w:marBottom w:val="0"/>
      <w:divBdr>
        <w:top w:val="none" w:sz="0" w:space="0" w:color="auto"/>
        <w:left w:val="none" w:sz="0" w:space="0" w:color="auto"/>
        <w:bottom w:val="none" w:sz="0" w:space="0" w:color="auto"/>
        <w:right w:val="none" w:sz="0" w:space="0" w:color="auto"/>
      </w:divBdr>
    </w:div>
    <w:div w:id="20260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sites/default/files/Freedom%20of%20Information%20%28FOI%29%20questions%20on%20local%20authority%20education%20provision%20for%20children%20and%20young%20people%20with%20vision%20impairment%20in%20England%202017.docx" TargetMode="External"/><Relationship Id="rId18" Type="http://schemas.openxmlformats.org/officeDocument/2006/relationships/hyperlink" Target="https://www.rnib.org.uk/professionals/knowledge-and-research-hub/research-reports/evidence-based-review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nib.org.uk/professionals/knowledge-and-research-hub/research-reports/education-research" TargetMode="External"/><Relationship Id="rId17" Type="http://schemas.openxmlformats.org/officeDocument/2006/relationships/hyperlink" Target="https://www.ons.gov.uk/economy/inflationandpriceindices/timeseries/d7bt/mm23" TargetMode="External"/><Relationship Id="rId2" Type="http://schemas.openxmlformats.org/officeDocument/2006/relationships/customXml" Target="../customXml/item2.xml"/><Relationship Id="rId16" Type="http://schemas.openxmlformats.org/officeDocument/2006/relationships/hyperlink" Target="https://digital.nhs.uk/data-and-information/publications/statistical/registered-blind-and-partially-sighted-people/registered-blind-and-partially-sighted-people-england-2016-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statistics/special-educational-needs-in-england-january-2019" TargetMode="External"/><Relationship Id="rId5" Type="http://schemas.openxmlformats.org/officeDocument/2006/relationships/numbering" Target="numbering.xml"/><Relationship Id="rId15" Type="http://schemas.openxmlformats.org/officeDocument/2006/relationships/hyperlink" Target="https://www.rnib.org.uk/professionals/knowledge-and-research-hub/research-reports/education-research" TargetMode="External"/><Relationship Id="rId10" Type="http://schemas.openxmlformats.org/officeDocument/2006/relationships/endnotes" Target="endnotes.xml"/><Relationship Id="rId19" Type="http://schemas.openxmlformats.org/officeDocument/2006/relationships/hyperlink" Target="https://www.gov.uk/government/publications/send-code-of-practice-0-to-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sionuk.org.uk/download/Sight-loss-statistics-for-CYP-2018-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3" ma:contentTypeDescription="Create a new document." ma:contentTypeScope="" ma:versionID="8eee24b59d7a61356d43368b355aa0d6">
  <xsd:schema xmlns:xsd="http://www.w3.org/2001/XMLSchema" xmlns:xs="http://www.w3.org/2001/XMLSchema" xmlns:p="http://schemas.microsoft.com/office/2006/metadata/properties" xmlns:ns1="http://schemas.microsoft.com/sharepoint/v3" xmlns:ns3="fbc7772a-9863-42e5-9ef3-d93d0be958db" xmlns:ns4="c967e478-47a7-40c4-991e-93a86fcaf391" targetNamespace="http://schemas.microsoft.com/office/2006/metadata/properties" ma:root="true" ma:fieldsID="fa4ecc7dd05214788d8ef57d07a649bb" ns1:_="" ns3:_="" ns4:_="">
    <xsd:import namespace="http://schemas.microsoft.com/sharepoint/v3"/>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823D-B5D7-4C05-A2F0-AC1EE5677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70267-7B37-4FD5-8D93-CECDC7CFF6B5}">
  <ds:schemaRefs>
    <ds:schemaRef ds:uri="fbc7772a-9863-42e5-9ef3-d93d0be958db"/>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c967e478-47a7-40c4-991e-93a86fcaf391"/>
    <ds:schemaRef ds:uri="http://www.w3.org/XML/1998/namespace"/>
    <ds:schemaRef ds:uri="http://purl.org/dc/dcmitype/"/>
  </ds:schemaRefs>
</ds:datastoreItem>
</file>

<file path=customXml/itemProps3.xml><?xml version="1.0" encoding="utf-8"?>
<ds:datastoreItem xmlns:ds="http://schemas.openxmlformats.org/officeDocument/2006/customXml" ds:itemID="{B62DE4E8-D663-4117-8775-B655B304C59B}">
  <ds:schemaRefs>
    <ds:schemaRef ds:uri="http://schemas.microsoft.com/sharepoint/v3/contenttype/forms"/>
  </ds:schemaRefs>
</ds:datastoreItem>
</file>

<file path=customXml/itemProps4.xml><?xml version="1.0" encoding="utf-8"?>
<ds:datastoreItem xmlns:ds="http://schemas.openxmlformats.org/officeDocument/2006/customXml" ds:itemID="{D2413981-BE79-4EF9-AD33-4B96957F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6147</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Edwards</dc:creator>
  <cp:keywords/>
  <dc:description/>
  <cp:lastModifiedBy>Lisa Hughes</cp:lastModifiedBy>
  <cp:revision>2</cp:revision>
  <cp:lastPrinted>2019-08-14T12:26:00Z</cp:lastPrinted>
  <dcterms:created xsi:type="dcterms:W3CDTF">2019-10-21T21:36:00Z</dcterms:created>
  <dcterms:modified xsi:type="dcterms:W3CDTF">2019-10-21T21:36:00Z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ies>
</file>