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81993" w14:textId="77777777" w:rsidR="00533B70" w:rsidRDefault="00533B70" w:rsidP="00533B70"/>
    <w:p w14:paraId="43C75628" w14:textId="0E290461" w:rsidR="00533B70" w:rsidRDefault="00533B70" w:rsidP="00533B70">
      <w:pPr>
        <w:pStyle w:val="Heading1"/>
      </w:pPr>
      <w:r>
        <w:t>Good practice guidelines for Eye Clinic Liaison Officers (ECLOs)</w:t>
      </w:r>
    </w:p>
    <w:p w14:paraId="51411C37" w14:textId="77777777" w:rsidR="00533B70" w:rsidRDefault="00533B70" w:rsidP="00533B70">
      <w:pPr>
        <w:pStyle w:val="Heading2"/>
      </w:pPr>
      <w:r w:rsidRPr="00CF10A7">
        <w:t xml:space="preserve">People with learning disabilities </w:t>
      </w:r>
    </w:p>
    <w:p w14:paraId="49E44219" w14:textId="77777777" w:rsidR="00533B70" w:rsidRDefault="00533B70" w:rsidP="00533B70">
      <w:r>
        <w:t>This guide is one of a set of guidelines available for Eye Clinic Liaison Officers (ECLOs).</w:t>
      </w:r>
    </w:p>
    <w:p w14:paraId="54C883EF" w14:textId="77777777" w:rsidR="00533B70" w:rsidRDefault="00533B70" w:rsidP="00533B70"/>
    <w:p w14:paraId="2B7A5346" w14:textId="77777777" w:rsidR="00533B70" w:rsidRDefault="00533B70" w:rsidP="00533B70">
      <w:pPr>
        <w:pStyle w:val="Heading3"/>
      </w:pPr>
      <w:r>
        <w:t xml:space="preserve">Purpose </w:t>
      </w:r>
    </w:p>
    <w:p w14:paraId="0ED96A0B" w14:textId="77777777" w:rsidR="00533B70" w:rsidRDefault="00533B70" w:rsidP="00533B70">
      <w:r>
        <w:t xml:space="preserve">This good practice guideline is to inform ECLOs about considerations and appropriate support for people with Learning Disabilities, within eye clinics. </w:t>
      </w:r>
    </w:p>
    <w:p w14:paraId="45C5D1A8" w14:textId="77777777" w:rsidR="00533B70" w:rsidRPr="006729FD" w:rsidRDefault="00533B70" w:rsidP="00533B70">
      <w:pPr>
        <w:rPr>
          <w:szCs w:val="28"/>
        </w:rPr>
      </w:pPr>
    </w:p>
    <w:p w14:paraId="5108F392" w14:textId="77777777" w:rsidR="00533B70" w:rsidRPr="006F0D53" w:rsidRDefault="00533B70" w:rsidP="00533B70">
      <w:pPr>
        <w:autoSpaceDE w:val="0"/>
        <w:autoSpaceDN w:val="0"/>
        <w:adjustRightInd w:val="0"/>
        <w:rPr>
          <w:rFonts w:eastAsia="FoundryFormSans-Book" w:cs="Arial"/>
          <w:szCs w:val="28"/>
        </w:rPr>
      </w:pPr>
      <w:r w:rsidRPr="006729FD">
        <w:rPr>
          <w:rFonts w:eastAsia="FoundryFormSans-Book" w:cs="Arial"/>
          <w:szCs w:val="28"/>
        </w:rPr>
        <w:t>There are</w:t>
      </w:r>
      <w:r>
        <w:rPr>
          <w:rFonts w:eastAsia="FoundryFormSans-Book" w:cs="Arial"/>
          <w:szCs w:val="28"/>
        </w:rPr>
        <w:t xml:space="preserve"> estimated to be more than one</w:t>
      </w:r>
      <w:r w:rsidRPr="006729FD">
        <w:rPr>
          <w:rFonts w:eastAsia="FoundryFormSans-Book" w:cs="Arial"/>
          <w:szCs w:val="28"/>
        </w:rPr>
        <w:t xml:space="preserve"> million adults in the United Kingdom with a learning disability.</w:t>
      </w:r>
      <w:r>
        <w:rPr>
          <w:rFonts w:eastAsia="FoundryFormSans-Book" w:cs="Arial"/>
          <w:szCs w:val="28"/>
        </w:rPr>
        <w:t xml:space="preserve"> </w:t>
      </w:r>
      <w:r w:rsidRPr="006F0D53">
        <w:rPr>
          <w:rFonts w:eastAsia="FoundryFormSans-Book" w:cs="Arial"/>
          <w:szCs w:val="28"/>
        </w:rPr>
        <w:t>A learning disability is a lifelong condition that means</w:t>
      </w:r>
      <w:r>
        <w:rPr>
          <w:rFonts w:eastAsia="FoundryFormSans-Book" w:cs="Arial"/>
          <w:szCs w:val="28"/>
        </w:rPr>
        <w:t xml:space="preserve"> </w:t>
      </w:r>
      <w:r w:rsidRPr="006F0D53">
        <w:rPr>
          <w:rFonts w:eastAsia="FoundryFormSans-Book" w:cs="Arial"/>
          <w:szCs w:val="28"/>
        </w:rPr>
        <w:t>people may need support to:</w:t>
      </w:r>
    </w:p>
    <w:p w14:paraId="5F750433" w14:textId="77777777" w:rsidR="00533B70" w:rsidRPr="00CF10A7" w:rsidRDefault="00533B70" w:rsidP="00533B70">
      <w:pPr>
        <w:pStyle w:val="ListBullet"/>
        <w:numPr>
          <w:ilvl w:val="0"/>
          <w:numId w:val="2"/>
        </w:numPr>
        <w:rPr>
          <w:rFonts w:eastAsia="FoundryFormSans-Book"/>
        </w:rPr>
      </w:pPr>
      <w:r w:rsidRPr="00CF10A7">
        <w:rPr>
          <w:rFonts w:eastAsia="FoundryFormSans-Book"/>
        </w:rPr>
        <w:t>understand new information</w:t>
      </w:r>
      <w:r>
        <w:rPr>
          <w:rFonts w:eastAsia="FoundryFormSans-Book"/>
        </w:rPr>
        <w:t>.</w:t>
      </w:r>
    </w:p>
    <w:p w14:paraId="272F0267" w14:textId="77777777" w:rsidR="00533B70" w:rsidRPr="00CF10A7" w:rsidRDefault="00533B70" w:rsidP="00533B70">
      <w:pPr>
        <w:pStyle w:val="ListBullet"/>
        <w:numPr>
          <w:ilvl w:val="0"/>
          <w:numId w:val="2"/>
        </w:numPr>
        <w:rPr>
          <w:rFonts w:eastAsia="FoundryFormSans-Book"/>
        </w:rPr>
      </w:pPr>
      <w:r w:rsidRPr="00CF10A7">
        <w:rPr>
          <w:rFonts w:eastAsia="FoundryFormSans-Book"/>
        </w:rPr>
        <w:t>learn new skills</w:t>
      </w:r>
      <w:r>
        <w:rPr>
          <w:rFonts w:eastAsia="FoundryFormSans-Book"/>
        </w:rPr>
        <w:t>.</w:t>
      </w:r>
    </w:p>
    <w:p w14:paraId="517BF625" w14:textId="77777777" w:rsidR="00533B70" w:rsidRPr="00CF10A7" w:rsidRDefault="00533B70" w:rsidP="00533B70">
      <w:pPr>
        <w:pStyle w:val="ListBullet"/>
        <w:numPr>
          <w:ilvl w:val="0"/>
          <w:numId w:val="2"/>
        </w:numPr>
        <w:rPr>
          <w:rFonts w:eastAsia="FoundryFormSans-Book"/>
        </w:rPr>
      </w:pPr>
      <w:r w:rsidRPr="00CF10A7">
        <w:rPr>
          <w:rFonts w:eastAsia="FoundryFormSans-Book"/>
        </w:rPr>
        <w:t>cope independently</w:t>
      </w:r>
      <w:r>
        <w:rPr>
          <w:rFonts w:eastAsia="FoundryFormSans-Book"/>
        </w:rPr>
        <w:t>.</w:t>
      </w:r>
    </w:p>
    <w:p w14:paraId="1B9EC348" w14:textId="77777777" w:rsidR="00533B70" w:rsidRDefault="00533B70" w:rsidP="00533B70">
      <w:pPr>
        <w:autoSpaceDE w:val="0"/>
        <w:autoSpaceDN w:val="0"/>
        <w:adjustRightInd w:val="0"/>
        <w:rPr>
          <w:rFonts w:eastAsia="FoundryFormSans-Book" w:cs="Arial"/>
          <w:szCs w:val="28"/>
        </w:rPr>
      </w:pPr>
    </w:p>
    <w:p w14:paraId="34B672D4" w14:textId="77777777" w:rsidR="00533B70" w:rsidRDefault="00533B70" w:rsidP="00533B70">
      <w:pPr>
        <w:autoSpaceDE w:val="0"/>
        <w:autoSpaceDN w:val="0"/>
        <w:adjustRightInd w:val="0"/>
        <w:rPr>
          <w:rFonts w:eastAsia="FoundryFormSans-Book" w:cs="Arial"/>
          <w:szCs w:val="28"/>
        </w:rPr>
      </w:pPr>
      <w:r w:rsidRPr="006F0D53">
        <w:rPr>
          <w:rFonts w:eastAsia="FoundryFormSans-Book" w:cs="Arial"/>
          <w:szCs w:val="28"/>
        </w:rPr>
        <w:t>It is important to remember that everyone with a</w:t>
      </w:r>
      <w:r>
        <w:rPr>
          <w:rFonts w:eastAsia="FoundryFormSans-Book" w:cs="Arial"/>
          <w:szCs w:val="28"/>
        </w:rPr>
        <w:t xml:space="preserve"> </w:t>
      </w:r>
      <w:r w:rsidRPr="006F0D53">
        <w:rPr>
          <w:rFonts w:eastAsia="FoundryFormSans-Book" w:cs="Arial"/>
          <w:szCs w:val="28"/>
        </w:rPr>
        <w:t>learning disability is an individual. Different people will</w:t>
      </w:r>
      <w:r>
        <w:rPr>
          <w:rFonts w:eastAsia="FoundryFormSans-Book" w:cs="Arial"/>
          <w:szCs w:val="28"/>
        </w:rPr>
        <w:t xml:space="preserve"> </w:t>
      </w:r>
      <w:r w:rsidRPr="006F0D53">
        <w:rPr>
          <w:rFonts w:eastAsia="FoundryFormSans-Book" w:cs="Arial"/>
          <w:szCs w:val="28"/>
        </w:rPr>
        <w:t>have different areas of life that they need support with.</w:t>
      </w:r>
    </w:p>
    <w:p w14:paraId="56600867" w14:textId="77777777" w:rsidR="00533B70" w:rsidRDefault="00533B70" w:rsidP="00533B70">
      <w:pPr>
        <w:autoSpaceDE w:val="0"/>
        <w:autoSpaceDN w:val="0"/>
        <w:adjustRightInd w:val="0"/>
        <w:rPr>
          <w:rFonts w:eastAsia="FoundryFormSans-Book" w:cs="Arial"/>
          <w:szCs w:val="28"/>
        </w:rPr>
      </w:pPr>
    </w:p>
    <w:p w14:paraId="3D2F4C02" w14:textId="77777777" w:rsidR="00533B70" w:rsidRPr="00CF10A7" w:rsidRDefault="00533B70" w:rsidP="00533B70">
      <w:pPr>
        <w:pStyle w:val="Heading3"/>
        <w:rPr>
          <w:rFonts w:eastAsia="FoundryFormSans-Book"/>
        </w:rPr>
      </w:pPr>
      <w:r w:rsidRPr="00CF10A7">
        <w:t>Key health messages</w:t>
      </w:r>
    </w:p>
    <w:p w14:paraId="5A83B47A" w14:textId="77777777" w:rsidR="00533B70" w:rsidRPr="00857AE3" w:rsidRDefault="00533B70" w:rsidP="00533B70">
      <w:pPr>
        <w:pStyle w:val="ListBullet"/>
        <w:numPr>
          <w:ilvl w:val="0"/>
          <w:numId w:val="2"/>
        </w:numPr>
        <w:rPr>
          <w:rFonts w:eastAsia="FoundryFormSans-Book"/>
        </w:rPr>
      </w:pPr>
      <w:r w:rsidRPr="006729FD">
        <w:rPr>
          <w:rFonts w:eastAsia="FoundryFormSans-Book"/>
        </w:rPr>
        <w:t xml:space="preserve">People with learning disabilities are 10 times more likely to have serious sight problems than other people </w:t>
      </w:r>
      <w:r>
        <w:rPr>
          <w:rFonts w:eastAsia="FoundryFormSans-Book"/>
        </w:rPr>
        <w:t>[1].</w:t>
      </w:r>
    </w:p>
    <w:p w14:paraId="09AF9EAA" w14:textId="77777777" w:rsidR="00533B70" w:rsidRPr="00857AE3" w:rsidRDefault="00533B70" w:rsidP="00533B70">
      <w:pPr>
        <w:pStyle w:val="ListBullet"/>
        <w:numPr>
          <w:ilvl w:val="0"/>
          <w:numId w:val="2"/>
        </w:numPr>
        <w:rPr>
          <w:rFonts w:eastAsia="FoundryFormSans-Book"/>
        </w:rPr>
      </w:pPr>
      <w:r w:rsidRPr="006729FD">
        <w:rPr>
          <w:rFonts w:eastAsia="FoundryFormSans-Book"/>
        </w:rPr>
        <w:t>People</w:t>
      </w:r>
      <w:r>
        <w:rPr>
          <w:rFonts w:eastAsia="FoundryFormSans-Book"/>
        </w:rPr>
        <w:t xml:space="preserve"> with learning disabilities</w:t>
      </w:r>
      <w:r w:rsidRPr="006729FD">
        <w:rPr>
          <w:rFonts w:eastAsia="FoundryFormSans-Book"/>
        </w:rPr>
        <w:t xml:space="preserve"> may not be able to tell</w:t>
      </w:r>
      <w:r>
        <w:rPr>
          <w:rFonts w:eastAsia="FoundryFormSans-Book"/>
        </w:rPr>
        <w:t xml:space="preserve"> you about their sight loss</w:t>
      </w:r>
      <w:r w:rsidRPr="006729FD">
        <w:rPr>
          <w:rFonts w:eastAsia="FoundryFormSans-Book"/>
        </w:rPr>
        <w:t xml:space="preserve">. Many people </w:t>
      </w:r>
      <w:r>
        <w:rPr>
          <w:rFonts w:eastAsia="FoundryFormSans-Book"/>
        </w:rPr>
        <w:t>who know the individual think they</w:t>
      </w:r>
      <w:r w:rsidRPr="006729FD">
        <w:rPr>
          <w:rFonts w:eastAsia="FoundryFormSans-Book"/>
        </w:rPr>
        <w:t xml:space="preserve"> can see perfectly well.</w:t>
      </w:r>
    </w:p>
    <w:p w14:paraId="31669A47" w14:textId="77777777" w:rsidR="00533B70" w:rsidRPr="00857AE3" w:rsidRDefault="00533B70" w:rsidP="00533B70">
      <w:pPr>
        <w:pStyle w:val="ListBullet"/>
        <w:numPr>
          <w:ilvl w:val="0"/>
          <w:numId w:val="2"/>
        </w:numPr>
        <w:rPr>
          <w:rFonts w:eastAsia="FoundryFormSans-Book"/>
        </w:rPr>
      </w:pPr>
      <w:r>
        <w:rPr>
          <w:rFonts w:eastAsia="FoundryFormSans-Book"/>
        </w:rPr>
        <w:lastRenderedPageBreak/>
        <w:t xml:space="preserve">People with learning disabilities who require glasses may need support to get used to them. Six in 10 </w:t>
      </w:r>
      <w:r w:rsidRPr="006729FD">
        <w:rPr>
          <w:rFonts w:eastAsia="FoundryFormSans-Book"/>
        </w:rPr>
        <w:t>people with learning disabilit</w:t>
      </w:r>
      <w:r>
        <w:rPr>
          <w:rFonts w:eastAsia="FoundryFormSans-Book"/>
        </w:rPr>
        <w:t>ies need glasses and often need support to get used to them.</w:t>
      </w:r>
    </w:p>
    <w:p w14:paraId="48396A50" w14:textId="77777777" w:rsidR="00533B70" w:rsidRDefault="00533B70" w:rsidP="00533B70">
      <w:pPr>
        <w:pStyle w:val="ListBullet"/>
        <w:numPr>
          <w:ilvl w:val="0"/>
          <w:numId w:val="2"/>
        </w:numPr>
      </w:pPr>
      <w:r>
        <w:t xml:space="preserve">Follow up appointments are important; people may need additional support to attend these. </w:t>
      </w:r>
    </w:p>
    <w:p w14:paraId="5DB054B4" w14:textId="77777777" w:rsidR="00533B70" w:rsidRDefault="00533B70" w:rsidP="00533B70"/>
    <w:p w14:paraId="50AE6ED5" w14:textId="77777777" w:rsidR="00533B70" w:rsidRPr="00CF10A7" w:rsidRDefault="00533B70" w:rsidP="00533B70">
      <w:pPr>
        <w:pStyle w:val="Heading3"/>
      </w:pPr>
      <w:r w:rsidRPr="00CF10A7">
        <w:t>Sight loss and learning disabilities</w:t>
      </w:r>
    </w:p>
    <w:p w14:paraId="4EDEBB5E" w14:textId="77777777" w:rsidR="00533B70" w:rsidRDefault="00533B70" w:rsidP="00533B70">
      <w:pPr>
        <w:pStyle w:val="ListBullet"/>
        <w:numPr>
          <w:ilvl w:val="0"/>
          <w:numId w:val="2"/>
        </w:numPr>
      </w:pPr>
      <w:r>
        <w:t>It should be recognised that many people with learning disabilities experience age related eye conditions significantly earlier than the general population.</w:t>
      </w:r>
    </w:p>
    <w:p w14:paraId="51C6E4C2" w14:textId="77777777" w:rsidR="00533B70" w:rsidRDefault="00533B70" w:rsidP="00533B70">
      <w:pPr>
        <w:pStyle w:val="ListBullet"/>
        <w:numPr>
          <w:ilvl w:val="0"/>
          <w:numId w:val="2"/>
        </w:numPr>
      </w:pPr>
      <w:r>
        <w:t>In addition, people with learning disabilities may have difficulties with processing visual information, which can exacerbate existing or newly diagnosed eye conditions.</w:t>
      </w:r>
    </w:p>
    <w:p w14:paraId="5642B79F" w14:textId="77777777" w:rsidR="00533B70" w:rsidRDefault="00533B70" w:rsidP="00533B70">
      <w:pPr>
        <w:pStyle w:val="ListBullet"/>
        <w:numPr>
          <w:ilvl w:val="0"/>
          <w:numId w:val="2"/>
        </w:numPr>
      </w:pPr>
      <w:r>
        <w:t xml:space="preserve">People with learning disabilities may not meet certification criteria if their visual difficulties are solely related to visual processing problems, rather than an identified eye condition. </w:t>
      </w:r>
    </w:p>
    <w:p w14:paraId="588B4419" w14:textId="77777777" w:rsidR="00533B70" w:rsidRDefault="00533B70" w:rsidP="00533B70"/>
    <w:p w14:paraId="71C05E27" w14:textId="77777777" w:rsidR="00533B70" w:rsidRPr="00CF10A7" w:rsidRDefault="00533B70" w:rsidP="00533B70">
      <w:pPr>
        <w:pStyle w:val="Heading3"/>
      </w:pPr>
      <w:r w:rsidRPr="00CF10A7">
        <w:t>Practice considerations</w:t>
      </w:r>
    </w:p>
    <w:p w14:paraId="7BE8EDA8" w14:textId="77777777" w:rsidR="00533B70" w:rsidRDefault="00533B70" w:rsidP="00533B70">
      <w:pPr>
        <w:rPr>
          <w:szCs w:val="28"/>
        </w:rPr>
      </w:pPr>
      <w:r w:rsidRPr="00026810">
        <w:rPr>
          <w:rFonts w:cs="Arial"/>
        </w:rPr>
        <w:t xml:space="preserve">It is a statutory requirement under the Equality Act </w:t>
      </w:r>
      <w:r>
        <w:rPr>
          <w:rFonts w:cs="Arial"/>
        </w:rPr>
        <w:t>(</w:t>
      </w:r>
      <w:r w:rsidRPr="00026810">
        <w:rPr>
          <w:rFonts w:cs="Arial"/>
        </w:rPr>
        <w:t>2010</w:t>
      </w:r>
      <w:r>
        <w:rPr>
          <w:rFonts w:cs="Arial"/>
        </w:rPr>
        <w:t>)</w:t>
      </w:r>
      <w:r w:rsidRPr="00026810">
        <w:rPr>
          <w:rFonts w:cs="Arial"/>
        </w:rPr>
        <w:t xml:space="preserve"> and the NHS and Social Care Act </w:t>
      </w:r>
      <w:r>
        <w:rPr>
          <w:rFonts w:cs="Arial"/>
        </w:rPr>
        <w:t>(</w:t>
      </w:r>
      <w:r w:rsidRPr="00026810">
        <w:rPr>
          <w:rFonts w:cs="Arial"/>
        </w:rPr>
        <w:t>2008</w:t>
      </w:r>
      <w:r>
        <w:rPr>
          <w:rFonts w:cs="Arial"/>
        </w:rPr>
        <w:t>)</w:t>
      </w:r>
      <w:r w:rsidRPr="00026810">
        <w:rPr>
          <w:rFonts w:cs="Arial"/>
        </w:rPr>
        <w:t xml:space="preserve"> that public sector agencies make </w:t>
      </w:r>
      <w:r>
        <w:rPr>
          <w:rFonts w:cs="Arial"/>
        </w:rPr>
        <w:t>"</w:t>
      </w:r>
      <w:r w:rsidRPr="00026810">
        <w:rPr>
          <w:rFonts w:cs="Arial"/>
        </w:rPr>
        <w:t>reasonable adjustments</w:t>
      </w:r>
      <w:r>
        <w:rPr>
          <w:rFonts w:cs="Arial"/>
        </w:rPr>
        <w:t xml:space="preserve">" </w:t>
      </w:r>
      <w:r w:rsidRPr="00026810">
        <w:rPr>
          <w:rFonts w:cs="Arial"/>
        </w:rPr>
        <w:t>to their practice that will make them as accessible and effective as they would be for people without disabilities</w:t>
      </w:r>
      <w:r>
        <w:rPr>
          <w:rFonts w:cs="Arial"/>
        </w:rPr>
        <w:t>.</w:t>
      </w:r>
    </w:p>
    <w:p w14:paraId="31F25106" w14:textId="77777777" w:rsidR="00533B70" w:rsidRDefault="00533B70" w:rsidP="00533B70">
      <w:pPr>
        <w:pStyle w:val="ListBullet"/>
        <w:numPr>
          <w:ilvl w:val="0"/>
          <w:numId w:val="2"/>
        </w:numPr>
      </w:pPr>
      <w:r w:rsidRPr="00C23BD3">
        <w:t>Multiple appointments may be required</w:t>
      </w:r>
      <w:r>
        <w:t xml:space="preserve"> to </w:t>
      </w:r>
      <w:r>
        <w:rPr>
          <w:color w:val="000000"/>
        </w:rPr>
        <w:t>gain trust and confidence in the</w:t>
      </w:r>
      <w:r w:rsidRPr="006729FD">
        <w:rPr>
          <w:color w:val="000000"/>
        </w:rPr>
        <w:t xml:space="preserve"> </w:t>
      </w:r>
      <w:r>
        <w:rPr>
          <w:color w:val="000000"/>
        </w:rPr>
        <w:t>staff within the clinic to enable</w:t>
      </w:r>
      <w:r w:rsidRPr="006729FD">
        <w:rPr>
          <w:color w:val="000000"/>
        </w:rPr>
        <w:t xml:space="preserve"> a full examination</w:t>
      </w:r>
      <w:r>
        <w:t>, reduce anxiety and work towards positive outcomes</w:t>
      </w:r>
      <w:r w:rsidRPr="00C23BD3">
        <w:t xml:space="preserve">. </w:t>
      </w:r>
    </w:p>
    <w:p w14:paraId="381B2AEC" w14:textId="77777777" w:rsidR="00533B70" w:rsidRDefault="00533B70" w:rsidP="00533B70">
      <w:pPr>
        <w:pStyle w:val="ListBullet"/>
        <w:numPr>
          <w:ilvl w:val="0"/>
          <w:numId w:val="2"/>
        </w:numPr>
      </w:pPr>
      <w:r>
        <w:t>It may be most appropriate for the individual to attend the clinic when it is at its quietest. This could be one of the first appointments of the day or one of the last appointments. Allow extra time for these appointments.</w:t>
      </w:r>
    </w:p>
    <w:p w14:paraId="054A6E1D" w14:textId="77777777" w:rsidR="00533B70" w:rsidRPr="00C23BD3" w:rsidRDefault="00533B70" w:rsidP="00533B70">
      <w:pPr>
        <w:pStyle w:val="ListBullet"/>
        <w:numPr>
          <w:ilvl w:val="0"/>
          <w:numId w:val="2"/>
        </w:numPr>
      </w:pPr>
      <w:r>
        <w:t>Referrals and additional support or information may be required when making onward referrals to rehabilitation or low vision services.</w:t>
      </w:r>
    </w:p>
    <w:p w14:paraId="136F01DD" w14:textId="77777777" w:rsidR="00533B70" w:rsidRDefault="00533B70" w:rsidP="00533B70">
      <w:pPr>
        <w:pStyle w:val="ListBullet"/>
        <w:numPr>
          <w:ilvl w:val="0"/>
          <w:numId w:val="2"/>
        </w:numPr>
      </w:pPr>
      <w:r w:rsidRPr="00C23BD3">
        <w:t xml:space="preserve">Ensure </w:t>
      </w:r>
      <w:r>
        <w:t xml:space="preserve">that </w:t>
      </w:r>
      <w:r w:rsidRPr="00C23BD3">
        <w:t xml:space="preserve">all information is sent to the individual </w:t>
      </w:r>
      <w:r>
        <w:t>and</w:t>
      </w:r>
      <w:r w:rsidRPr="00C23BD3">
        <w:t xml:space="preserve"> carers </w:t>
      </w:r>
      <w:r>
        <w:t xml:space="preserve">in appropriate formats, </w:t>
      </w:r>
      <w:r w:rsidRPr="00C23BD3">
        <w:t>and</w:t>
      </w:r>
      <w:r>
        <w:t xml:space="preserve"> where consent is given,</w:t>
      </w:r>
      <w:r w:rsidRPr="00C23BD3">
        <w:t xml:space="preserve"> </w:t>
      </w:r>
      <w:r>
        <w:t xml:space="preserve">that </w:t>
      </w:r>
      <w:r w:rsidRPr="00C23BD3">
        <w:t>other relevant care organisations are included.</w:t>
      </w:r>
    </w:p>
    <w:p w14:paraId="24A73F06" w14:textId="77777777" w:rsidR="00533B70" w:rsidRDefault="00533B70" w:rsidP="00533B70"/>
    <w:p w14:paraId="3F298473" w14:textId="77777777" w:rsidR="00533B70" w:rsidRPr="00CF10A7" w:rsidRDefault="00533B70" w:rsidP="00533B70">
      <w:pPr>
        <w:pStyle w:val="Heading3"/>
      </w:pPr>
      <w:r w:rsidRPr="00CF10A7">
        <w:t>What can make a difference?</w:t>
      </w:r>
      <w:r w:rsidRPr="00CF10A7">
        <w:tab/>
      </w:r>
    </w:p>
    <w:p w14:paraId="36CAFD41" w14:textId="77777777" w:rsidR="00533B70" w:rsidRDefault="00533B70" w:rsidP="00533B70">
      <w:pPr>
        <w:pStyle w:val="Heading4"/>
      </w:pPr>
      <w:r>
        <w:t>Communication:</w:t>
      </w:r>
    </w:p>
    <w:p w14:paraId="24627969" w14:textId="77777777" w:rsidR="00533B70" w:rsidRDefault="00533B70" w:rsidP="00533B70">
      <w:pPr>
        <w:pStyle w:val="ListBullet"/>
        <w:numPr>
          <w:ilvl w:val="0"/>
          <w:numId w:val="2"/>
        </w:numPr>
      </w:pPr>
      <w:r w:rsidRPr="00C23BD3">
        <w:t>Always include the individual an</w:t>
      </w:r>
      <w:r>
        <w:t>d their carer(s) in discussions</w:t>
      </w:r>
      <w:r w:rsidRPr="00C23BD3">
        <w:t>.</w:t>
      </w:r>
      <w:r>
        <w:t xml:space="preserve"> Ask the person and carer what reasonable adjustments would help them for the appointment.</w:t>
      </w:r>
      <w:r w:rsidRPr="00C23BD3">
        <w:t xml:space="preserve"> </w:t>
      </w:r>
    </w:p>
    <w:p w14:paraId="70D87FF7" w14:textId="77777777" w:rsidR="00533B70" w:rsidRPr="008C3F52" w:rsidRDefault="00533B70" w:rsidP="00533B70">
      <w:pPr>
        <w:pStyle w:val="ListBullet"/>
        <w:numPr>
          <w:ilvl w:val="0"/>
          <w:numId w:val="2"/>
        </w:numPr>
      </w:pPr>
      <w:r>
        <w:lastRenderedPageBreak/>
        <w:t xml:space="preserve">Refer to the </w:t>
      </w:r>
      <w:r w:rsidRPr="007612E9">
        <w:rPr>
          <w:bCs/>
        </w:rPr>
        <w:t>Communication Passport</w:t>
      </w:r>
      <w:r w:rsidRPr="00A31F6A">
        <w:rPr>
          <w:bCs/>
        </w:rPr>
        <w:t xml:space="preserve"> if available and ensure that communication guidelines are followed during the clinical appointment. </w:t>
      </w:r>
      <w:r w:rsidRPr="001F237E">
        <w:rPr>
          <w:rStyle w:val="Strong"/>
          <w:rFonts w:cs="Helvetica"/>
          <w:b w:val="0"/>
          <w:color w:val="222222"/>
          <w:szCs w:val="28"/>
        </w:rPr>
        <w:t>A Communication Passport</w:t>
      </w:r>
      <w:r w:rsidRPr="008C3F52">
        <w:rPr>
          <w:rFonts w:cs="Helvetica"/>
          <w:color w:val="222222"/>
        </w:rPr>
        <w:t xml:space="preserve"> provides a practical and person-</w:t>
      </w:r>
      <w:r>
        <w:rPr>
          <w:rFonts w:cs="Helvetica"/>
          <w:color w:val="222222"/>
        </w:rPr>
        <w:t>centre</w:t>
      </w:r>
      <w:r w:rsidRPr="008C3F52">
        <w:rPr>
          <w:rFonts w:cs="Helvetica"/>
          <w:color w:val="222222"/>
        </w:rPr>
        <w:t>d approach to passing on key information about people</w:t>
      </w:r>
      <w:r>
        <w:rPr>
          <w:rFonts w:cs="Helvetica"/>
          <w:color w:val="222222"/>
        </w:rPr>
        <w:t xml:space="preserve"> </w:t>
      </w:r>
      <w:r w:rsidRPr="008C3F52">
        <w:rPr>
          <w:rFonts w:cs="Helvetica"/>
          <w:color w:val="222222"/>
        </w:rPr>
        <w:t>with complex communication difficulties who cannot easily speak for themselves.</w:t>
      </w:r>
      <w:r>
        <w:rPr>
          <w:rFonts w:cs="Helvetica"/>
          <w:color w:val="222222"/>
        </w:rPr>
        <w:t xml:space="preserve"> </w:t>
      </w:r>
      <w:r w:rsidRPr="004731B1">
        <w:rPr>
          <w:rFonts w:cs="Helvetica"/>
          <w:color w:val="222222"/>
        </w:rPr>
        <w:t>Please see</w:t>
      </w:r>
      <w:r>
        <w:rPr>
          <w:rFonts w:cs="Helvetica"/>
          <w:color w:val="222222"/>
        </w:rPr>
        <w:t xml:space="preserve"> Appendix 1 (</w:t>
      </w:r>
      <w:hyperlink w:anchor="_Appendix_1" w:history="1">
        <w:r w:rsidRPr="00247478">
          <w:rPr>
            <w:rStyle w:val="Hyperlink"/>
            <w:rFonts w:cs="Helvetica"/>
          </w:rPr>
          <w:t>link to Appendix 1</w:t>
        </w:r>
      </w:hyperlink>
      <w:r>
        <w:rPr>
          <w:rStyle w:val="Hyperlink"/>
          <w:rFonts w:cs="Helvetica"/>
        </w:rPr>
        <w:t>)</w:t>
      </w:r>
      <w:r>
        <w:rPr>
          <w:rFonts w:cs="Helvetica"/>
          <w:color w:val="222222"/>
        </w:rPr>
        <w:t xml:space="preserve"> for more information.</w:t>
      </w:r>
    </w:p>
    <w:p w14:paraId="3CB22A3B" w14:textId="77777777" w:rsidR="00533B70" w:rsidRPr="00C23BD3" w:rsidRDefault="00533B70" w:rsidP="00533B70">
      <w:pPr>
        <w:pStyle w:val="ListBullet"/>
        <w:numPr>
          <w:ilvl w:val="0"/>
          <w:numId w:val="2"/>
        </w:numPr>
      </w:pPr>
      <w:r w:rsidRPr="00C23BD3">
        <w:t>Allow the individual time to understand and respond</w:t>
      </w:r>
      <w:r>
        <w:t>.</w:t>
      </w:r>
      <w:r w:rsidRPr="00C23BD3">
        <w:t xml:space="preserve"> </w:t>
      </w:r>
    </w:p>
    <w:p w14:paraId="1A0AEAE2" w14:textId="77777777" w:rsidR="00533B70" w:rsidRDefault="00533B70" w:rsidP="00533B70">
      <w:pPr>
        <w:pStyle w:val="ListBullet"/>
        <w:numPr>
          <w:ilvl w:val="0"/>
          <w:numId w:val="2"/>
        </w:numPr>
      </w:pPr>
      <w:r w:rsidRPr="00C23BD3">
        <w:t>Use simple language and short sentenc</w:t>
      </w:r>
      <w:r>
        <w:t>es, one idea or question at a time. Sensitively check understanding by asking open questions.</w:t>
      </w:r>
    </w:p>
    <w:p w14:paraId="2FE1A496" w14:textId="77777777" w:rsidR="00533B70" w:rsidRDefault="00533B70" w:rsidP="00533B70">
      <w:pPr>
        <w:pStyle w:val="ListBullet"/>
        <w:numPr>
          <w:ilvl w:val="0"/>
          <w:numId w:val="2"/>
        </w:numPr>
      </w:pPr>
      <w:r w:rsidRPr="00FB211F">
        <w:t xml:space="preserve">It may be necessary to repeat information, or repeat </w:t>
      </w:r>
      <w:r>
        <w:t xml:space="preserve">the information </w:t>
      </w:r>
      <w:r w:rsidRPr="00FB211F">
        <w:t>slightly</w:t>
      </w:r>
      <w:r>
        <w:t xml:space="preserve"> differently, if the person is unsure.</w:t>
      </w:r>
    </w:p>
    <w:p w14:paraId="7E73E914" w14:textId="77777777" w:rsidR="00533B70" w:rsidRDefault="00533B70" w:rsidP="00533B70">
      <w:pPr>
        <w:pStyle w:val="ListBullet"/>
        <w:numPr>
          <w:ilvl w:val="0"/>
          <w:numId w:val="2"/>
        </w:numPr>
      </w:pPr>
      <w:r>
        <w:t>Take your time to explain information. People with learning disabilities may take longer to understand the information provided.</w:t>
      </w:r>
    </w:p>
    <w:p w14:paraId="3FC19542" w14:textId="77777777" w:rsidR="00533B70" w:rsidRDefault="00533B70" w:rsidP="00533B70">
      <w:pPr>
        <w:pStyle w:val="ListBullet"/>
        <w:numPr>
          <w:ilvl w:val="0"/>
          <w:numId w:val="2"/>
        </w:numPr>
      </w:pPr>
      <w:r>
        <w:t>Provide written information in an easy read format to help understanding.</w:t>
      </w:r>
    </w:p>
    <w:p w14:paraId="0087DB86" w14:textId="77777777" w:rsidR="00533B70" w:rsidRDefault="00533B70" w:rsidP="00533B70"/>
    <w:p w14:paraId="76FD4F49" w14:textId="77777777" w:rsidR="00533B70" w:rsidRPr="00CF10A7" w:rsidRDefault="00533B70" w:rsidP="00533B70">
      <w:pPr>
        <w:pStyle w:val="Heading4"/>
      </w:pPr>
      <w:r w:rsidRPr="00CF10A7">
        <w:t>Recommendations:</w:t>
      </w:r>
    </w:p>
    <w:p w14:paraId="6ED798C8" w14:textId="77777777" w:rsidR="00533B70" w:rsidRDefault="00533B70" w:rsidP="00533B70">
      <w:pPr>
        <w:pStyle w:val="ListBullet"/>
        <w:numPr>
          <w:ilvl w:val="0"/>
          <w:numId w:val="2"/>
        </w:numPr>
      </w:pPr>
      <w:r>
        <w:t xml:space="preserve">When making referrals for the potential use of aids or adaptations, discuss these referrals with the individual, their family members and carers, to ensure that the referral is appropriate, of benefit to the person, and that it could improve their quality of life. </w:t>
      </w:r>
    </w:p>
    <w:p w14:paraId="600D205F" w14:textId="77777777" w:rsidR="00533B70" w:rsidRDefault="00533B70" w:rsidP="00533B70">
      <w:pPr>
        <w:pStyle w:val="ListBullet"/>
        <w:numPr>
          <w:ilvl w:val="0"/>
          <w:numId w:val="2"/>
        </w:numPr>
      </w:pPr>
      <w:r>
        <w:t>If new glasses are prescribed, suggest that they are labelled or marked appropriately, such as for reading or distance.</w:t>
      </w:r>
    </w:p>
    <w:p w14:paraId="729FD61E" w14:textId="77777777" w:rsidR="00533B70" w:rsidRDefault="00533B70" w:rsidP="00533B70">
      <w:pPr>
        <w:pStyle w:val="ListBullet"/>
        <w:numPr>
          <w:ilvl w:val="0"/>
          <w:numId w:val="2"/>
        </w:numPr>
      </w:pPr>
      <w:r w:rsidRPr="0084221F">
        <w:t>The impact</w:t>
      </w:r>
      <w:r>
        <w:t xml:space="preserve"> and </w:t>
      </w:r>
      <w:r w:rsidRPr="0084221F">
        <w:t>severity of the person</w:t>
      </w:r>
      <w:r>
        <w:t>’s</w:t>
      </w:r>
      <w:r w:rsidRPr="0084221F">
        <w:t xml:space="preserve"> sight loss may not have </w:t>
      </w:r>
      <w:r>
        <w:t xml:space="preserve">been previously fully appreciated, </w:t>
      </w:r>
      <w:r w:rsidRPr="0084221F">
        <w:t xml:space="preserve">as </w:t>
      </w:r>
      <w:r>
        <w:t>their sight loss may have been masked and behaviours attributed to the person's learning disability.</w:t>
      </w:r>
      <w:r w:rsidRPr="0084221F">
        <w:t xml:space="preserve"> </w:t>
      </w:r>
    </w:p>
    <w:p w14:paraId="78E63588" w14:textId="77777777" w:rsidR="00533B70" w:rsidRDefault="00533B70" w:rsidP="00533B70">
      <w:pPr>
        <w:pStyle w:val="ListBullet"/>
        <w:numPr>
          <w:ilvl w:val="0"/>
          <w:numId w:val="2"/>
        </w:numPr>
      </w:pPr>
      <w:r w:rsidRPr="0084221F">
        <w:t xml:space="preserve">The </w:t>
      </w:r>
      <w:r>
        <w:t>ECLO</w:t>
      </w:r>
      <w:r w:rsidRPr="0084221F">
        <w:t xml:space="preserve"> should also support family member</w:t>
      </w:r>
      <w:r>
        <w:t xml:space="preserve">s and </w:t>
      </w:r>
      <w:r w:rsidRPr="0084221F">
        <w:t>carer</w:t>
      </w:r>
      <w:r>
        <w:t>s</w:t>
      </w:r>
      <w:r w:rsidRPr="0084221F">
        <w:t xml:space="preserve"> to understa</w:t>
      </w:r>
      <w:r>
        <w:t>nd the eye condition and sight loss.</w:t>
      </w:r>
    </w:p>
    <w:p w14:paraId="32A08D54" w14:textId="77777777" w:rsidR="00533B70" w:rsidRPr="0019320A" w:rsidRDefault="00533B70" w:rsidP="00533B70">
      <w:pPr>
        <w:pStyle w:val="ListBullet"/>
        <w:numPr>
          <w:ilvl w:val="0"/>
          <w:numId w:val="2"/>
        </w:numPr>
      </w:pPr>
      <w:r>
        <w:t>Promote the inclusion of vision information into care plans and health action plans.</w:t>
      </w:r>
    </w:p>
    <w:p w14:paraId="545AB125" w14:textId="77777777" w:rsidR="00533B70" w:rsidRPr="00B05B1B" w:rsidRDefault="00533B70" w:rsidP="00533B70">
      <w:pPr>
        <w:pStyle w:val="ListBullet"/>
        <w:numPr>
          <w:ilvl w:val="0"/>
          <w:numId w:val="2"/>
        </w:numPr>
      </w:pPr>
      <w:r w:rsidRPr="00B05B1B">
        <w:t xml:space="preserve">The </w:t>
      </w:r>
      <w:r>
        <w:t>ECLO</w:t>
      </w:r>
      <w:r w:rsidRPr="00B05B1B">
        <w:t xml:space="preserve"> should promote the inclusion of </w:t>
      </w:r>
      <w:r>
        <w:t xml:space="preserve">relevant </w:t>
      </w:r>
      <w:r w:rsidRPr="00F6742D">
        <w:t>information</w:t>
      </w:r>
      <w:r>
        <w:t xml:space="preserve"> from</w:t>
      </w:r>
      <w:r w:rsidRPr="00B05B1B">
        <w:t xml:space="preserve"> the Ophthalmologist within</w:t>
      </w:r>
      <w:r>
        <w:t xml:space="preserve"> the</w:t>
      </w:r>
      <w:r w:rsidRPr="00B05B1B">
        <w:t xml:space="preserve"> Communication Pa</w:t>
      </w:r>
      <w:r w:rsidRPr="00F6742D">
        <w:t>ssport</w:t>
      </w:r>
      <w:r>
        <w:t>. This could include</w:t>
      </w:r>
      <w:r w:rsidRPr="00B05B1B">
        <w:t xml:space="preserve"> highlighting working distance</w:t>
      </w:r>
      <w:r>
        <w:t>s</w:t>
      </w:r>
      <w:r w:rsidRPr="00B05B1B">
        <w:t xml:space="preserve">, </w:t>
      </w:r>
      <w:r>
        <w:t xml:space="preserve">the best side to approach, </w:t>
      </w:r>
      <w:r w:rsidRPr="00B05B1B">
        <w:t xml:space="preserve">appropriate </w:t>
      </w:r>
      <w:proofErr w:type="gramStart"/>
      <w:r w:rsidRPr="00B05B1B">
        <w:t>font</w:t>
      </w:r>
      <w:proofErr w:type="gramEnd"/>
      <w:r>
        <w:t xml:space="preserve"> and </w:t>
      </w:r>
      <w:r w:rsidRPr="00B05B1B">
        <w:t xml:space="preserve">pictorial size. </w:t>
      </w:r>
      <w:r>
        <w:t>Changes to the Communication Passport would be made by the family member or support worker.</w:t>
      </w:r>
    </w:p>
    <w:p w14:paraId="364ACC48" w14:textId="77777777" w:rsidR="00533B70" w:rsidRDefault="00533B70" w:rsidP="00533B70">
      <w:pPr>
        <w:pStyle w:val="ListBullet"/>
        <w:numPr>
          <w:ilvl w:val="0"/>
          <w:numId w:val="2"/>
        </w:numPr>
      </w:pPr>
      <w:r w:rsidRPr="00B05B1B">
        <w:t>Consideration must be given to ocular medications e.g. a</w:t>
      </w:r>
      <w:r>
        <w:t xml:space="preserve">dministration, labelling, usage, their </w:t>
      </w:r>
      <w:proofErr w:type="gramStart"/>
      <w:r>
        <w:t>impact</w:t>
      </w:r>
      <w:proofErr w:type="gramEnd"/>
      <w:r>
        <w:t xml:space="preserve"> and compliance.</w:t>
      </w:r>
    </w:p>
    <w:p w14:paraId="01433778" w14:textId="2D99F79F" w:rsidR="00533B70" w:rsidRDefault="00533B70" w:rsidP="00533B70">
      <w:pPr>
        <w:pStyle w:val="Heading4"/>
      </w:pPr>
      <w:r>
        <w:br w:type="page"/>
      </w:r>
      <w:r w:rsidRPr="00CF10A7">
        <w:lastRenderedPageBreak/>
        <w:t>Legal considerations</w:t>
      </w:r>
      <w:r>
        <w:t xml:space="preserve"> – </w:t>
      </w:r>
      <w:r>
        <w:rPr>
          <w:szCs w:val="28"/>
        </w:rPr>
        <w:t>consent and capacity:</w:t>
      </w:r>
      <w:r w:rsidRPr="00741829">
        <w:t xml:space="preserve"> </w:t>
      </w:r>
    </w:p>
    <w:p w14:paraId="0AB3AD5F" w14:textId="77777777" w:rsidR="00533B70" w:rsidRPr="00FE5143" w:rsidRDefault="00533B70" w:rsidP="00533B70">
      <w:pPr>
        <w:pStyle w:val="ListBullet"/>
        <w:numPr>
          <w:ilvl w:val="0"/>
          <w:numId w:val="2"/>
        </w:numPr>
        <w:rPr>
          <w:bCs/>
          <w:szCs w:val="28"/>
        </w:rPr>
      </w:pPr>
      <w:r w:rsidRPr="00FE5143">
        <w:rPr>
          <w:bCs/>
        </w:rPr>
        <w:t>If the ECLO is unsure if the person has capacity to consent, this should be discussed with family member</w:t>
      </w:r>
      <w:r>
        <w:rPr>
          <w:bCs/>
        </w:rPr>
        <w:t>s,</w:t>
      </w:r>
      <w:r w:rsidRPr="00FE5143">
        <w:rPr>
          <w:bCs/>
        </w:rPr>
        <w:t xml:space="preserve"> support staff or G</w:t>
      </w:r>
      <w:r>
        <w:rPr>
          <w:bCs/>
        </w:rPr>
        <w:t xml:space="preserve">eneral </w:t>
      </w:r>
      <w:r w:rsidRPr="00FE5143">
        <w:rPr>
          <w:bCs/>
        </w:rPr>
        <w:t>P</w:t>
      </w:r>
      <w:r>
        <w:rPr>
          <w:bCs/>
        </w:rPr>
        <w:t>ractitioners</w:t>
      </w:r>
      <w:r w:rsidRPr="00FE5143">
        <w:rPr>
          <w:bCs/>
        </w:rPr>
        <w:t xml:space="preserve"> who will advise. </w:t>
      </w:r>
    </w:p>
    <w:p w14:paraId="2A0EC086" w14:textId="77777777" w:rsidR="00533B70" w:rsidRDefault="00533B70" w:rsidP="00533B70">
      <w:pPr>
        <w:pStyle w:val="ListBullet"/>
        <w:numPr>
          <w:ilvl w:val="0"/>
          <w:numId w:val="2"/>
        </w:numPr>
      </w:pPr>
      <w:r>
        <w:t xml:space="preserve">Adults are considered to have capacity to </w:t>
      </w:r>
      <w:r w:rsidRPr="00E506B3">
        <w:t>consent</w:t>
      </w:r>
      <w:r>
        <w:t xml:space="preserve">, including those with learning disabilities, </w:t>
      </w:r>
      <w:r w:rsidRPr="00E506B3">
        <w:t xml:space="preserve">unless </w:t>
      </w:r>
      <w:r>
        <w:t>legally determined otherwise.</w:t>
      </w:r>
    </w:p>
    <w:p w14:paraId="12FC9DB3" w14:textId="77777777" w:rsidR="00533B70" w:rsidRPr="00E506B3" w:rsidRDefault="00533B70" w:rsidP="00533B70">
      <w:pPr>
        <w:pStyle w:val="ListBullet"/>
        <w:numPr>
          <w:ilvl w:val="0"/>
          <w:numId w:val="2"/>
        </w:numPr>
      </w:pPr>
      <w:r>
        <w:t>Only an individual who has undergone appropriate incapacity training can decide if an individual has or has not got capacity to make an informed decision.</w:t>
      </w:r>
    </w:p>
    <w:p w14:paraId="003AA307" w14:textId="77777777" w:rsidR="00533B70" w:rsidRDefault="00533B70" w:rsidP="00533B70">
      <w:pPr>
        <w:pStyle w:val="ListBullet"/>
        <w:numPr>
          <w:ilvl w:val="0"/>
          <w:numId w:val="2"/>
        </w:numPr>
      </w:pPr>
      <w:r w:rsidRPr="006D1C48">
        <w:t xml:space="preserve">Capacity to </w:t>
      </w:r>
      <w:r>
        <w:t>c</w:t>
      </w:r>
      <w:r w:rsidRPr="006D1C48">
        <w:t xml:space="preserve">onsent in the first instance is assessed by </w:t>
      </w:r>
      <w:r>
        <w:t>h</w:t>
      </w:r>
      <w:r w:rsidRPr="006D1C48">
        <w:t xml:space="preserve">ealth </w:t>
      </w:r>
      <w:r>
        <w:t>c</w:t>
      </w:r>
      <w:r w:rsidRPr="006D1C48">
        <w:t xml:space="preserve">are </w:t>
      </w:r>
      <w:r>
        <w:t>p</w:t>
      </w:r>
      <w:r w:rsidRPr="006D1C48">
        <w:t>rofessionals</w:t>
      </w:r>
      <w:r>
        <w:t>,</w:t>
      </w:r>
      <w:r w:rsidRPr="006D1C48">
        <w:t xml:space="preserve"> </w:t>
      </w:r>
      <w:r>
        <w:t>such as a General Practitioner, Psychologist or Consultant</w:t>
      </w:r>
      <w:r w:rsidRPr="006D1C48">
        <w:t xml:space="preserve">. </w:t>
      </w:r>
      <w:r>
        <w:t xml:space="preserve">The </w:t>
      </w:r>
      <w:r w:rsidRPr="00B520B4">
        <w:rPr>
          <w:iCs/>
        </w:rPr>
        <w:t xml:space="preserve">Mental Capacity Act </w:t>
      </w:r>
      <w:r>
        <w:rPr>
          <w:iCs/>
        </w:rPr>
        <w:t>(</w:t>
      </w:r>
      <w:r w:rsidRPr="00B520B4">
        <w:rPr>
          <w:iCs/>
        </w:rPr>
        <w:t>2005</w:t>
      </w:r>
      <w:r>
        <w:rPr>
          <w:iCs/>
        </w:rPr>
        <w:t>)</w:t>
      </w:r>
      <w:r w:rsidRPr="00B520B4">
        <w:rPr>
          <w:iCs/>
        </w:rPr>
        <w:t xml:space="preserve"> (England</w:t>
      </w:r>
      <w:r>
        <w:rPr>
          <w:iCs/>
        </w:rPr>
        <w:t xml:space="preserve">, </w:t>
      </w:r>
      <w:r w:rsidRPr="00B520B4">
        <w:rPr>
          <w:iCs/>
        </w:rPr>
        <w:t xml:space="preserve">Wales and NI) </w:t>
      </w:r>
      <w:r w:rsidRPr="00B520B4">
        <w:t xml:space="preserve">and the </w:t>
      </w:r>
      <w:r w:rsidRPr="00B520B4">
        <w:rPr>
          <w:iCs/>
        </w:rPr>
        <w:t xml:space="preserve">Adults with Incapacity (Scotland) Act </w:t>
      </w:r>
      <w:r>
        <w:rPr>
          <w:iCs/>
        </w:rPr>
        <w:t>(</w:t>
      </w:r>
      <w:r w:rsidRPr="00B520B4">
        <w:rPr>
          <w:iCs/>
        </w:rPr>
        <w:t>2000</w:t>
      </w:r>
      <w:r>
        <w:rPr>
          <w:iCs/>
        </w:rPr>
        <w:t>)</w:t>
      </w:r>
      <w:r w:rsidRPr="00B520B4">
        <w:rPr>
          <w:iCs/>
        </w:rPr>
        <w:t xml:space="preserve"> are the relevant legislative documents relating to this</w:t>
      </w:r>
      <w:r w:rsidRPr="00B520B4">
        <w:t xml:space="preserve"> </w:t>
      </w:r>
      <w:r>
        <w:t>(</w:t>
      </w:r>
      <w:hyperlink w:anchor="_Appendix_2" w:history="1">
        <w:r w:rsidRPr="009A64C3">
          <w:rPr>
            <w:rStyle w:val="Hyperlink"/>
          </w:rPr>
          <w:t>Appendix 2</w:t>
        </w:r>
      </w:hyperlink>
      <w:r>
        <w:t xml:space="preserve"> has links to these documents).</w:t>
      </w:r>
    </w:p>
    <w:p w14:paraId="648CE7D8" w14:textId="77777777" w:rsidR="00533B70" w:rsidRPr="00857AE3" w:rsidRDefault="00533B70" w:rsidP="00533B70">
      <w:pPr>
        <w:pStyle w:val="ListBullet"/>
        <w:numPr>
          <w:ilvl w:val="0"/>
          <w:numId w:val="0"/>
        </w:numPr>
        <w:ind w:left="360"/>
      </w:pPr>
    </w:p>
    <w:p w14:paraId="0CA736AF" w14:textId="77777777" w:rsidR="00533B70" w:rsidRPr="00CF10A7" w:rsidRDefault="00533B70" w:rsidP="00533B70">
      <w:pPr>
        <w:pStyle w:val="Heading3"/>
      </w:pPr>
      <w:r w:rsidRPr="00CF10A7">
        <w:t xml:space="preserve">Signposting </w:t>
      </w:r>
      <w:r>
        <w:t>and</w:t>
      </w:r>
      <w:r w:rsidRPr="00CF10A7">
        <w:t xml:space="preserve"> useful resources </w:t>
      </w:r>
    </w:p>
    <w:p w14:paraId="05E97C4B" w14:textId="77777777" w:rsidR="00533B70" w:rsidRPr="00857AE3" w:rsidRDefault="00533B70" w:rsidP="00533B70">
      <w:pPr>
        <w:pStyle w:val="Heading4"/>
      </w:pPr>
      <w:r w:rsidRPr="00857AE3">
        <w:t xml:space="preserve">RNIB </w:t>
      </w:r>
      <w:r>
        <w:t>Older People and Complex Needs team</w:t>
      </w:r>
    </w:p>
    <w:p w14:paraId="6951FCDF" w14:textId="77777777" w:rsidR="00533B70" w:rsidRDefault="00533B70" w:rsidP="00533B70">
      <w:pPr>
        <w:rPr>
          <w:szCs w:val="28"/>
        </w:rPr>
      </w:pPr>
      <w:r>
        <w:rPr>
          <w:szCs w:val="28"/>
        </w:rPr>
        <w:t>Access to resources specifically to support people with learning disabilities. These include tip cards on:</w:t>
      </w:r>
    </w:p>
    <w:p w14:paraId="095ED6A0" w14:textId="77777777" w:rsidR="00533B70" w:rsidRPr="005B1452" w:rsidRDefault="00533B70" w:rsidP="00533B70">
      <w:pPr>
        <w:pStyle w:val="ListBullet"/>
        <w:numPr>
          <w:ilvl w:val="0"/>
          <w:numId w:val="2"/>
        </w:numPr>
      </w:pPr>
      <w:r w:rsidRPr="005B1452">
        <w:t xml:space="preserve">Communication </w:t>
      </w:r>
    </w:p>
    <w:p w14:paraId="165C62E9" w14:textId="77777777" w:rsidR="00533B70" w:rsidRPr="005B1452" w:rsidRDefault="00533B70" w:rsidP="00533B70">
      <w:pPr>
        <w:pStyle w:val="ListBullet"/>
        <w:numPr>
          <w:ilvl w:val="0"/>
          <w:numId w:val="2"/>
        </w:numPr>
      </w:pPr>
      <w:r w:rsidRPr="005B1452">
        <w:t xml:space="preserve">Mobility </w:t>
      </w:r>
    </w:p>
    <w:p w14:paraId="714B539E" w14:textId="77777777" w:rsidR="00533B70" w:rsidRPr="005B1452" w:rsidRDefault="00533B70" w:rsidP="00533B70">
      <w:pPr>
        <w:pStyle w:val="ListBullet"/>
        <w:numPr>
          <w:ilvl w:val="0"/>
          <w:numId w:val="2"/>
        </w:numPr>
      </w:pPr>
      <w:r w:rsidRPr="005B1452">
        <w:t>Environmental recommendations</w:t>
      </w:r>
    </w:p>
    <w:p w14:paraId="71D3BF78" w14:textId="77777777" w:rsidR="00533B70" w:rsidRDefault="00533B70" w:rsidP="00533B70">
      <w:pPr>
        <w:pStyle w:val="ListBullet"/>
        <w:numPr>
          <w:ilvl w:val="0"/>
          <w:numId w:val="2"/>
        </w:numPr>
      </w:pPr>
      <w:r>
        <w:t>Supporting someone with learning disabilities to wear their glasses.</w:t>
      </w:r>
    </w:p>
    <w:p w14:paraId="63654E29" w14:textId="77777777" w:rsidR="00533B70" w:rsidRDefault="00533B70" w:rsidP="00533B70">
      <w:pPr>
        <w:rPr>
          <w:szCs w:val="28"/>
        </w:rPr>
      </w:pPr>
      <w:r>
        <w:t xml:space="preserve">Link to webpage: </w:t>
      </w:r>
      <w:hyperlink r:id="rId11" w:history="1">
        <w:r w:rsidRPr="006775E3">
          <w:rPr>
            <w:rStyle w:val="Hyperlink"/>
            <w:szCs w:val="28"/>
          </w:rPr>
          <w:t>https://www.rnib.org.uk/professionals-social-care-professionals-complex-needs-social-care/learning-disabilities</w:t>
        </w:r>
      </w:hyperlink>
    </w:p>
    <w:p w14:paraId="40746691" w14:textId="77777777" w:rsidR="00533B70" w:rsidRPr="00CA5AC8" w:rsidRDefault="00533B70" w:rsidP="00533B70">
      <w:pPr>
        <w:rPr>
          <w:szCs w:val="28"/>
        </w:rPr>
      </w:pPr>
    </w:p>
    <w:p w14:paraId="4C8FA330" w14:textId="77777777" w:rsidR="00533B70" w:rsidRDefault="00533B70" w:rsidP="00533B70">
      <w:pPr>
        <w:pStyle w:val="Heading4"/>
      </w:pPr>
      <w:proofErr w:type="spellStart"/>
      <w:r>
        <w:t>SeeAbility</w:t>
      </w:r>
      <w:proofErr w:type="spellEnd"/>
      <w:r>
        <w:t xml:space="preserve"> </w:t>
      </w:r>
    </w:p>
    <w:p w14:paraId="3D745276" w14:textId="77777777" w:rsidR="00533B70" w:rsidRDefault="007F0885" w:rsidP="00533B70">
      <w:pPr>
        <w:rPr>
          <w:szCs w:val="28"/>
        </w:rPr>
      </w:pPr>
      <w:hyperlink r:id="rId12" w:history="1">
        <w:r w:rsidR="00533B70" w:rsidRPr="00772719">
          <w:rPr>
            <w:rStyle w:val="Hyperlink"/>
            <w:szCs w:val="28"/>
          </w:rPr>
          <w:t>https://www.seeability.org/</w:t>
        </w:r>
      </w:hyperlink>
    </w:p>
    <w:p w14:paraId="328C5388" w14:textId="77777777" w:rsidR="00533B70" w:rsidRPr="00AA63E8" w:rsidRDefault="00533B70" w:rsidP="00533B70">
      <w:pPr>
        <w:rPr>
          <w:rStyle w:val="Strong"/>
          <w:b w:val="0"/>
          <w:bCs/>
        </w:rPr>
      </w:pPr>
      <w:proofErr w:type="spellStart"/>
      <w:r w:rsidRPr="00AA63E8">
        <w:rPr>
          <w:rStyle w:val="Strong"/>
          <w:b w:val="0"/>
          <w:bCs/>
        </w:rPr>
        <w:t>SeeAbility</w:t>
      </w:r>
      <w:proofErr w:type="spellEnd"/>
      <w:r w:rsidRPr="00AA63E8">
        <w:rPr>
          <w:rStyle w:val="Strong"/>
          <w:b w:val="0"/>
          <w:bCs/>
        </w:rPr>
        <w:t xml:space="preserve"> is a specialist registered charity enriching the lives of people who have sight loss and other disabilities. It provides easy to read eye care information to support accessing the optometrist and understanding eye conditions.</w:t>
      </w:r>
    </w:p>
    <w:p w14:paraId="4C6D5A01" w14:textId="77777777" w:rsidR="00533B70" w:rsidRDefault="00533B70" w:rsidP="00533B70">
      <w:pPr>
        <w:rPr>
          <w:szCs w:val="28"/>
        </w:rPr>
      </w:pPr>
    </w:p>
    <w:p w14:paraId="1A22AAC9" w14:textId="77777777" w:rsidR="00533B70" w:rsidRDefault="00533B70" w:rsidP="00533B70">
      <w:pPr>
        <w:pStyle w:val="Heading4"/>
      </w:pPr>
      <w:r>
        <w:t>Royal College of Ophthalmology</w:t>
      </w:r>
    </w:p>
    <w:p w14:paraId="3EFEB35E" w14:textId="77777777" w:rsidR="00533B70" w:rsidRPr="008822B4" w:rsidRDefault="00533B70" w:rsidP="00533B70">
      <w:pPr>
        <w:rPr>
          <w:rStyle w:val="Hyperlink"/>
          <w:szCs w:val="28"/>
        </w:rPr>
      </w:pPr>
      <w:r>
        <w:rPr>
          <w:szCs w:val="28"/>
        </w:rPr>
        <w:fldChar w:fldCharType="begin"/>
      </w:r>
      <w:r>
        <w:rPr>
          <w:szCs w:val="28"/>
        </w:rPr>
        <w:instrText xml:space="preserve"> HYPERLINK "https://www.rcophth.ac.uk/?s=learning+disabilities" </w:instrText>
      </w:r>
      <w:r>
        <w:rPr>
          <w:szCs w:val="28"/>
        </w:rPr>
        <w:fldChar w:fldCharType="separate"/>
      </w:r>
      <w:r w:rsidRPr="008822B4">
        <w:rPr>
          <w:rStyle w:val="Hyperlink"/>
          <w:szCs w:val="28"/>
        </w:rPr>
        <w:t>https://www.rcophth.ac.uk/?s=learning+disabilities</w:t>
      </w:r>
    </w:p>
    <w:p w14:paraId="4C33E887" w14:textId="77777777" w:rsidR="00533B70" w:rsidRPr="00C75C7E" w:rsidRDefault="00533B70" w:rsidP="00533B70">
      <w:pPr>
        <w:rPr>
          <w:rStyle w:val="Hyperlink"/>
          <w:color w:val="auto"/>
          <w:szCs w:val="28"/>
          <w:u w:val="none"/>
        </w:rPr>
      </w:pPr>
      <w:r>
        <w:rPr>
          <w:szCs w:val="28"/>
        </w:rPr>
        <w:fldChar w:fldCharType="end"/>
      </w:r>
      <w:r w:rsidRPr="00C75C7E">
        <w:rPr>
          <w:rStyle w:val="Hyperlink"/>
          <w:color w:val="auto"/>
          <w:szCs w:val="28"/>
          <w:u w:val="none"/>
        </w:rPr>
        <w:t xml:space="preserve">The Royal College of Ophthalmology champion excellence in the practice of ophthalmology through standards in training, </w:t>
      </w:r>
      <w:proofErr w:type="gramStart"/>
      <w:r w:rsidRPr="00C75C7E">
        <w:rPr>
          <w:rStyle w:val="Hyperlink"/>
          <w:color w:val="auto"/>
          <w:szCs w:val="28"/>
          <w:u w:val="none"/>
        </w:rPr>
        <w:t>education</w:t>
      </w:r>
      <w:proofErr w:type="gramEnd"/>
      <w:r w:rsidRPr="00C75C7E">
        <w:rPr>
          <w:rStyle w:val="Hyperlink"/>
          <w:color w:val="auto"/>
          <w:szCs w:val="28"/>
          <w:u w:val="none"/>
        </w:rPr>
        <w:t xml:space="preserve"> and assessment of ophthalmologists; supporting the promotion of research and innovation throughout the ophthalmic community.</w:t>
      </w:r>
    </w:p>
    <w:p w14:paraId="7E6C528A" w14:textId="77777777" w:rsidR="00533B70" w:rsidRDefault="00533B70" w:rsidP="00533B70"/>
    <w:p w14:paraId="1CA76D9F" w14:textId="77777777" w:rsidR="00533B70" w:rsidRDefault="00533B70" w:rsidP="00533B70">
      <w:pPr>
        <w:pStyle w:val="Heading4"/>
      </w:pPr>
      <w:r>
        <w:lastRenderedPageBreak/>
        <w:t xml:space="preserve">Mencap </w:t>
      </w:r>
    </w:p>
    <w:p w14:paraId="5E253F68" w14:textId="77777777" w:rsidR="00533B70" w:rsidRDefault="007F0885" w:rsidP="00533B70">
      <w:pPr>
        <w:rPr>
          <w:rStyle w:val="Hyperlink"/>
          <w:szCs w:val="28"/>
        </w:rPr>
      </w:pPr>
      <w:hyperlink r:id="rId13" w:history="1">
        <w:r w:rsidR="00533B70" w:rsidRPr="00020513">
          <w:rPr>
            <w:rStyle w:val="Hyperlink"/>
            <w:szCs w:val="28"/>
          </w:rPr>
          <w:t>https://www.mencap.org.uk/</w:t>
        </w:r>
      </w:hyperlink>
    </w:p>
    <w:p w14:paraId="55FE6008" w14:textId="77777777" w:rsidR="00533B70" w:rsidRPr="00F42762" w:rsidRDefault="00533B70" w:rsidP="00533B70">
      <w:pPr>
        <w:rPr>
          <w:rFonts w:cs="Arial"/>
          <w:szCs w:val="28"/>
          <w:shd w:val="clear" w:color="auto" w:fill="FFFFFF"/>
        </w:rPr>
      </w:pPr>
      <w:r w:rsidRPr="00F42762">
        <w:rPr>
          <w:rFonts w:cs="Arial"/>
          <w:szCs w:val="28"/>
          <w:shd w:val="clear" w:color="auto" w:fill="FFFFFF"/>
        </w:rPr>
        <w:t xml:space="preserve">Mencap is a leading voice in the field of learning disability, focused on valuing and supporting people with a learning disability, and their families and carers. </w:t>
      </w:r>
    </w:p>
    <w:p w14:paraId="1AB6F849" w14:textId="77777777" w:rsidR="00533B70" w:rsidRPr="007E1059" w:rsidRDefault="00533B70" w:rsidP="00533B70">
      <w:pPr>
        <w:rPr>
          <w:rStyle w:val="Hyperlink"/>
          <w:szCs w:val="28"/>
        </w:rPr>
      </w:pPr>
    </w:p>
    <w:p w14:paraId="785FD924" w14:textId="77777777" w:rsidR="00533B70" w:rsidRDefault="00533B70" w:rsidP="00533B70">
      <w:pPr>
        <w:pStyle w:val="Heading4"/>
      </w:pPr>
      <w:r>
        <w:t>Information about Easy Read information</w:t>
      </w:r>
    </w:p>
    <w:p w14:paraId="101A2501" w14:textId="77777777" w:rsidR="00533B70" w:rsidRDefault="007F0885" w:rsidP="00533B70">
      <w:hyperlink r:id="rId14" w:history="1">
        <w:r w:rsidR="00533B70" w:rsidRPr="00715D71">
          <w:rPr>
            <w:color w:val="0000FF"/>
            <w:u w:val="single"/>
          </w:rPr>
          <w:t>About Easy Read - Easy-Read-Online Limited</w:t>
        </w:r>
      </w:hyperlink>
    </w:p>
    <w:p w14:paraId="560A52A1" w14:textId="77777777" w:rsidR="00533B70" w:rsidRPr="00715D71" w:rsidRDefault="00533B70" w:rsidP="00533B70"/>
    <w:p w14:paraId="6510DE53" w14:textId="77777777" w:rsidR="00533B70" w:rsidRDefault="00533B70" w:rsidP="00533B70">
      <w:pPr>
        <w:pStyle w:val="Heading5"/>
      </w:pPr>
      <w:proofErr w:type="spellStart"/>
      <w:r>
        <w:t>Photosymbols</w:t>
      </w:r>
      <w:proofErr w:type="spellEnd"/>
    </w:p>
    <w:p w14:paraId="532E0F4F" w14:textId="77777777" w:rsidR="00533B70" w:rsidRDefault="007F0885" w:rsidP="00533B70">
      <w:pPr>
        <w:rPr>
          <w:rStyle w:val="Hyperlink"/>
        </w:rPr>
      </w:pPr>
      <w:hyperlink r:id="rId15" w:history="1">
        <w:r w:rsidR="00533B70">
          <w:rPr>
            <w:rStyle w:val="Hyperlink"/>
          </w:rPr>
          <w:t>https://www.photosymbols.com/pages/easy-read</w:t>
        </w:r>
      </w:hyperlink>
    </w:p>
    <w:p w14:paraId="290E3EE4" w14:textId="77777777" w:rsidR="00533B70" w:rsidRDefault="00533B70" w:rsidP="00533B70">
      <w:pPr>
        <w:rPr>
          <w:rFonts w:cs="Arial"/>
          <w:szCs w:val="28"/>
          <w:shd w:val="clear" w:color="auto" w:fill="FFFFFF"/>
        </w:rPr>
      </w:pPr>
      <w:proofErr w:type="spellStart"/>
      <w:r w:rsidRPr="00B21E50">
        <w:rPr>
          <w:rFonts w:cs="Arial"/>
          <w:szCs w:val="28"/>
          <w:shd w:val="clear" w:color="auto" w:fill="FFFFFF"/>
        </w:rPr>
        <w:t>Photosymbols</w:t>
      </w:r>
      <w:proofErr w:type="spellEnd"/>
      <w:r w:rsidRPr="00B21E50">
        <w:rPr>
          <w:rFonts w:cs="Arial"/>
          <w:szCs w:val="28"/>
          <w:shd w:val="clear" w:color="auto" w:fill="FFFFFF"/>
        </w:rPr>
        <w:t xml:space="preserve"> are a form of easy read information designed for people with a learning disability who like clearly written words with pictures to help aid understanding.</w:t>
      </w:r>
    </w:p>
    <w:p w14:paraId="228F679A" w14:textId="77777777" w:rsidR="00533B70" w:rsidRDefault="00533B70" w:rsidP="00533B70">
      <w:pPr>
        <w:rPr>
          <w:szCs w:val="28"/>
        </w:rPr>
      </w:pPr>
    </w:p>
    <w:p w14:paraId="72865051" w14:textId="77777777" w:rsidR="00533B70" w:rsidRDefault="00533B70" w:rsidP="00533B70">
      <w:pPr>
        <w:pStyle w:val="Heading3"/>
      </w:pPr>
      <w:r>
        <w:t xml:space="preserve">Support </w:t>
      </w:r>
    </w:p>
    <w:p w14:paraId="25C4174F" w14:textId="77777777" w:rsidR="00533B70" w:rsidRDefault="00533B70" w:rsidP="00533B70">
      <w:pPr>
        <w:rPr>
          <w:szCs w:val="28"/>
        </w:rPr>
      </w:pPr>
      <w:r>
        <w:rPr>
          <w:szCs w:val="28"/>
        </w:rPr>
        <w:t>Specialist services within RNIB:</w:t>
      </w:r>
    </w:p>
    <w:p w14:paraId="6EBEEA1E" w14:textId="77777777" w:rsidR="00533B70" w:rsidRPr="00F7641C" w:rsidRDefault="00533B70" w:rsidP="00533B70">
      <w:pPr>
        <w:pStyle w:val="ListBullet"/>
        <w:numPr>
          <w:ilvl w:val="0"/>
          <w:numId w:val="2"/>
        </w:numPr>
      </w:pPr>
      <w:r>
        <w:t xml:space="preserve">RNIB Older People and Complex Needs team provide training and consultancy services to carers, </w:t>
      </w:r>
      <w:proofErr w:type="gramStart"/>
      <w:r>
        <w:t>professionals</w:t>
      </w:r>
      <w:proofErr w:type="gramEnd"/>
      <w:r>
        <w:t xml:space="preserve"> and organisations. For more information, contact us at </w:t>
      </w:r>
      <w:hyperlink r:id="rId16">
        <w:r w:rsidRPr="0F2A1A1F">
          <w:rPr>
            <w:rStyle w:val="Hyperlink"/>
          </w:rPr>
          <w:t>olderpeopleandcomplexneeds@rnib.org.uk</w:t>
        </w:r>
      </w:hyperlink>
      <w:r>
        <w:t xml:space="preserve"> or on 0141 739 3682. </w:t>
      </w:r>
    </w:p>
    <w:p w14:paraId="2D28787C" w14:textId="77777777" w:rsidR="00533B70" w:rsidRPr="00573FBB" w:rsidRDefault="00533B70" w:rsidP="00533B70">
      <w:pPr>
        <w:pStyle w:val="ListBullet"/>
        <w:numPr>
          <w:ilvl w:val="0"/>
          <w:numId w:val="2"/>
        </w:numPr>
        <w:rPr>
          <w:rStyle w:val="Hyperlink"/>
          <w:szCs w:val="28"/>
        </w:rPr>
      </w:pPr>
      <w:proofErr w:type="gramStart"/>
      <w:r w:rsidRPr="00F7641C">
        <w:t xml:space="preserve">RNIB Visual Impairment, Learning Disabilities and Complex Needs </w:t>
      </w:r>
      <w:r>
        <w:t>s</w:t>
      </w:r>
      <w:r w:rsidRPr="00F7641C">
        <w:t>ervices,</w:t>
      </w:r>
      <w:proofErr w:type="gramEnd"/>
      <w:r w:rsidRPr="00F7641C">
        <w:t xml:space="preserve"> based in Glasgow and Fife provide building based and community services.</w:t>
      </w:r>
      <w:r>
        <w:t xml:space="preserve"> </w:t>
      </w:r>
      <w:r w:rsidRPr="00F7641C">
        <w:t>For further information</w:t>
      </w:r>
      <w:r>
        <w:t xml:space="preserve"> please visit: </w:t>
      </w:r>
      <w:r>
        <w:fldChar w:fldCharType="begin"/>
      </w:r>
      <w:r>
        <w:instrText>HYPERLINK "https://www.rnib.org.uk/scotland-how-we-can-help-learning-disability-outreach-and-assessment-scotland/day-support-and"</w:instrText>
      </w:r>
      <w:r>
        <w:fldChar w:fldCharType="separate"/>
      </w:r>
      <w:r w:rsidRPr="00573FBB">
        <w:rPr>
          <w:rStyle w:val="Hyperlink"/>
        </w:rPr>
        <w:t>https://www.rnib.org.uk/scotland-how-we-can-help-learning-disability-outreach-and-assessment-scotland/day-support-and</w:t>
      </w:r>
    </w:p>
    <w:p w14:paraId="04A302FE" w14:textId="77777777" w:rsidR="00533B70" w:rsidRPr="00570E82" w:rsidRDefault="00533B70" w:rsidP="00533B70">
      <w:pPr>
        <w:pStyle w:val="ListBullet"/>
        <w:numPr>
          <w:ilvl w:val="0"/>
          <w:numId w:val="0"/>
        </w:numPr>
        <w:ind w:left="360"/>
        <w:rPr>
          <w:szCs w:val="28"/>
        </w:rPr>
      </w:pPr>
      <w:r>
        <w:fldChar w:fldCharType="end"/>
      </w:r>
    </w:p>
    <w:p w14:paraId="7CB68ADC" w14:textId="77777777" w:rsidR="00533B70" w:rsidRDefault="00533B70" w:rsidP="00533B70">
      <w:r>
        <w:t>This Good Practice Guide was written by:</w:t>
      </w:r>
    </w:p>
    <w:p w14:paraId="01FA09CB" w14:textId="77777777" w:rsidR="00533B70" w:rsidRDefault="00533B70" w:rsidP="00533B70">
      <w:pPr>
        <w:numPr>
          <w:ilvl w:val="0"/>
          <w:numId w:val="11"/>
        </w:numPr>
        <w:rPr>
          <w:szCs w:val="28"/>
        </w:rPr>
      </w:pPr>
      <w:r>
        <w:rPr>
          <w:szCs w:val="28"/>
        </w:rPr>
        <w:t>RNIB Older People and Complex Needs team</w:t>
      </w:r>
    </w:p>
    <w:p w14:paraId="70566B90" w14:textId="77777777" w:rsidR="00533B70" w:rsidRDefault="00533B70" w:rsidP="00533B70">
      <w:pPr>
        <w:numPr>
          <w:ilvl w:val="0"/>
          <w:numId w:val="11"/>
        </w:numPr>
        <w:rPr>
          <w:szCs w:val="28"/>
        </w:rPr>
      </w:pPr>
      <w:r>
        <w:rPr>
          <w:szCs w:val="28"/>
        </w:rPr>
        <w:t xml:space="preserve">RNIB, VILD and Complex Needs services </w:t>
      </w:r>
    </w:p>
    <w:p w14:paraId="3E6963B5" w14:textId="77777777" w:rsidR="00533B70" w:rsidRDefault="00533B70" w:rsidP="00533B70">
      <w:pPr>
        <w:numPr>
          <w:ilvl w:val="0"/>
          <w:numId w:val="11"/>
        </w:numPr>
        <w:rPr>
          <w:szCs w:val="28"/>
        </w:rPr>
      </w:pPr>
      <w:r>
        <w:rPr>
          <w:szCs w:val="28"/>
        </w:rPr>
        <w:t>RNIB Evidence and Service Impact team</w:t>
      </w:r>
    </w:p>
    <w:p w14:paraId="6C22F2FD" w14:textId="77777777" w:rsidR="00533B70" w:rsidRDefault="00533B70" w:rsidP="00533B70">
      <w:pPr>
        <w:rPr>
          <w:szCs w:val="28"/>
        </w:rPr>
      </w:pPr>
    </w:p>
    <w:p w14:paraId="13D0C4C1" w14:textId="06BD53A0" w:rsidR="00533B70" w:rsidRDefault="00533B70" w:rsidP="00533B70">
      <w:pPr>
        <w:rPr>
          <w:szCs w:val="28"/>
        </w:rPr>
      </w:pPr>
      <w:r>
        <w:rPr>
          <w:szCs w:val="28"/>
        </w:rPr>
        <w:t xml:space="preserve">The original guide was peer reviewed by a panel of ECLOs and their managers from across the sight loss sector. Updates were supported by RNIB Older People and Complex Needs team and reviewed by </w:t>
      </w:r>
      <w:r>
        <w:t>Eye Care Support Services.</w:t>
      </w:r>
      <w:r>
        <w:br w:type="page"/>
      </w:r>
    </w:p>
    <w:p w14:paraId="4B18E8DE" w14:textId="77777777" w:rsidR="00533B70" w:rsidRPr="00E06C47" w:rsidRDefault="00533B70" w:rsidP="00533B70">
      <w:pPr>
        <w:pStyle w:val="Heading2"/>
      </w:pPr>
      <w:r w:rsidRPr="00E06C47">
        <w:t xml:space="preserve">References </w:t>
      </w:r>
    </w:p>
    <w:p w14:paraId="15AA74CD" w14:textId="77777777" w:rsidR="00533B70" w:rsidRPr="0015404F" w:rsidRDefault="00533B70" w:rsidP="00533B70">
      <w:r>
        <w:t xml:space="preserve">[1] </w:t>
      </w:r>
      <w:r w:rsidRPr="0015404F">
        <w:t xml:space="preserve">Emerson, E., &amp; Robertson, J. (2011). "Estimated prevalence of visual impairment among people with learning disabilities in the UK". London: Royal National Institute for the Blind &amp; </w:t>
      </w:r>
      <w:proofErr w:type="spellStart"/>
      <w:r w:rsidRPr="0015404F">
        <w:t>Seeability</w:t>
      </w:r>
      <w:proofErr w:type="spellEnd"/>
      <w:r w:rsidRPr="0015404F">
        <w:t xml:space="preserve"> Learning Disabilities Observatory. Available from:</w:t>
      </w:r>
    </w:p>
    <w:p w14:paraId="474FA261" w14:textId="77777777" w:rsidR="00533B70" w:rsidRPr="0015404F" w:rsidRDefault="007F0885" w:rsidP="00533B70">
      <w:hyperlink r:id="rId17" w:history="1">
        <w:r w:rsidR="00533B70" w:rsidRPr="0015404F">
          <w:rPr>
            <w:color w:val="0000FF"/>
            <w:u w:val="single"/>
          </w:rPr>
          <w:t>https://www.rnib.org.uk/knowledge-and-research-hub/research-reports/prevention-sight-loss/prevalence-VI-learning-disabilities</w:t>
        </w:r>
      </w:hyperlink>
      <w:r w:rsidR="00533B70">
        <w:rPr>
          <w:color w:val="0000FF"/>
          <w:u w:val="single"/>
        </w:rPr>
        <w:t xml:space="preserve"> </w:t>
      </w:r>
      <w:r w:rsidR="00533B70">
        <w:t xml:space="preserve">(Accessed 23/11/20). </w:t>
      </w:r>
    </w:p>
    <w:p w14:paraId="55154F22" w14:textId="77777777" w:rsidR="00533B70" w:rsidRPr="00181515" w:rsidRDefault="00533B70" w:rsidP="00533B70">
      <w:pPr>
        <w:rPr>
          <w:b/>
          <w:sz w:val="32"/>
          <w:szCs w:val="32"/>
        </w:rPr>
      </w:pPr>
      <w:r w:rsidRPr="00E06C47">
        <w:rPr>
          <w:b/>
          <w:sz w:val="32"/>
          <w:szCs w:val="32"/>
        </w:rPr>
        <w:t xml:space="preserve"> </w:t>
      </w:r>
    </w:p>
    <w:p w14:paraId="2D89BAC5" w14:textId="77777777" w:rsidR="00533B70" w:rsidRDefault="00533B70" w:rsidP="00533B70">
      <w:pPr>
        <w:pStyle w:val="Heading2"/>
      </w:pPr>
      <w:bookmarkStart w:id="0" w:name="_Appendix_1"/>
      <w:bookmarkEnd w:id="0"/>
      <w:r>
        <w:t>Appendix 1</w:t>
      </w:r>
    </w:p>
    <w:p w14:paraId="17CEF53B" w14:textId="77777777" w:rsidR="00533B70" w:rsidRDefault="00533B70" w:rsidP="00533B70">
      <w:pPr>
        <w:rPr>
          <w:rFonts w:cs="Arial"/>
          <w:color w:val="222222"/>
          <w:szCs w:val="28"/>
        </w:rPr>
      </w:pPr>
      <w:r w:rsidRPr="000B73C5">
        <w:rPr>
          <w:rFonts w:cs="Arial"/>
          <w:color w:val="222222"/>
          <w:szCs w:val="28"/>
        </w:rPr>
        <w:t>A Communication Passport</w:t>
      </w:r>
      <w:r w:rsidRPr="00ED0CBE">
        <w:rPr>
          <w:rFonts w:cs="Arial"/>
          <w:color w:val="222222"/>
          <w:szCs w:val="28"/>
        </w:rPr>
        <w:t xml:space="preserve"> provides a practical and person-centred approach to passing on key information about people with complex communication difficulties who cannot easily speak for themselves.</w:t>
      </w:r>
      <w:r>
        <w:rPr>
          <w:rFonts w:cs="Arial"/>
          <w:color w:val="222222"/>
          <w:szCs w:val="28"/>
        </w:rPr>
        <w:t xml:space="preserve"> </w:t>
      </w:r>
    </w:p>
    <w:p w14:paraId="79A28DDB" w14:textId="77777777" w:rsidR="00533B70" w:rsidRPr="00ED0CBE" w:rsidRDefault="00533B70" w:rsidP="00533B70">
      <w:r>
        <w:rPr>
          <w:rFonts w:cs="Arial"/>
          <w:color w:val="222222"/>
          <w:szCs w:val="28"/>
        </w:rPr>
        <w:t>A</w:t>
      </w:r>
      <w:r w:rsidRPr="00ED0CBE">
        <w:t xml:space="preserve"> Communication Passport does this by: </w:t>
      </w:r>
    </w:p>
    <w:p w14:paraId="6C28F7F4" w14:textId="77777777" w:rsidR="00533B70" w:rsidRPr="000A636B" w:rsidRDefault="00533B70" w:rsidP="00533B70">
      <w:pPr>
        <w:pStyle w:val="ListBullet"/>
        <w:numPr>
          <w:ilvl w:val="0"/>
          <w:numId w:val="2"/>
        </w:numPr>
        <w:rPr>
          <w:bCs/>
        </w:rPr>
      </w:pPr>
      <w:r w:rsidRPr="00DD6C25">
        <w:t xml:space="preserve">Describing the person’s most effective </w:t>
      </w:r>
      <w:r w:rsidRPr="001F237E">
        <w:rPr>
          <w:bCs/>
          <w:iCs/>
        </w:rPr>
        <w:t>means of communication</w:t>
      </w:r>
      <w:r w:rsidRPr="00A31F6A">
        <w:rPr>
          <w:bCs/>
        </w:rPr>
        <w:t>, so that others can be better communication partners</w:t>
      </w:r>
      <w:r w:rsidRPr="000A636B">
        <w:rPr>
          <w:bCs/>
        </w:rPr>
        <w:t>.</w:t>
      </w:r>
    </w:p>
    <w:p w14:paraId="7ABD2CF8" w14:textId="77777777" w:rsidR="00533B70" w:rsidRPr="000A636B" w:rsidRDefault="00533B70" w:rsidP="00533B70">
      <w:pPr>
        <w:pStyle w:val="ListBullet"/>
        <w:numPr>
          <w:ilvl w:val="0"/>
          <w:numId w:val="2"/>
        </w:numPr>
        <w:rPr>
          <w:bCs/>
        </w:rPr>
      </w:pPr>
      <w:r w:rsidRPr="000A636B">
        <w:rPr>
          <w:bCs/>
        </w:rPr>
        <w:t xml:space="preserve">Drawing together </w:t>
      </w:r>
      <w:r w:rsidRPr="001F237E">
        <w:rPr>
          <w:bCs/>
          <w:iCs/>
        </w:rPr>
        <w:t>information</w:t>
      </w:r>
      <w:r w:rsidRPr="00A31F6A">
        <w:rPr>
          <w:bCs/>
        </w:rPr>
        <w:t xml:space="preserve"> from past and present, from many people who know the person, and from different contexts</w:t>
      </w:r>
      <w:r w:rsidRPr="000A636B">
        <w:rPr>
          <w:bCs/>
        </w:rPr>
        <w:t>.</w:t>
      </w:r>
    </w:p>
    <w:p w14:paraId="4673247F" w14:textId="77777777" w:rsidR="00533B70" w:rsidRDefault="00533B70" w:rsidP="00533B70">
      <w:pPr>
        <w:pStyle w:val="ListBullet"/>
        <w:numPr>
          <w:ilvl w:val="0"/>
          <w:numId w:val="2"/>
        </w:numPr>
      </w:pPr>
      <w:r w:rsidRPr="000A636B">
        <w:rPr>
          <w:bCs/>
        </w:rPr>
        <w:t xml:space="preserve">Presenting the person positively as an </w:t>
      </w:r>
      <w:r w:rsidRPr="001F237E">
        <w:rPr>
          <w:bCs/>
          <w:iCs/>
        </w:rPr>
        <w:t>individual</w:t>
      </w:r>
      <w:r w:rsidRPr="00A31F6A">
        <w:rPr>
          <w:bCs/>
        </w:rPr>
        <w:t>,</w:t>
      </w:r>
      <w:r w:rsidRPr="00DD6C25">
        <w:t xml:space="preserve"> not as a set of </w:t>
      </w:r>
      <w:r>
        <w:t>"</w:t>
      </w:r>
      <w:r w:rsidRPr="00DD6C25">
        <w:t>problems</w:t>
      </w:r>
      <w:r>
        <w:t>"</w:t>
      </w:r>
      <w:r w:rsidRPr="00DD6C25">
        <w:t xml:space="preserve"> or disabilities</w:t>
      </w:r>
      <w:r>
        <w:t>.</w:t>
      </w:r>
    </w:p>
    <w:p w14:paraId="4A4C0676" w14:textId="77777777" w:rsidR="00533B70" w:rsidRPr="00DD6C25" w:rsidRDefault="00533B70" w:rsidP="00533B70">
      <w:pPr>
        <w:ind w:left="720"/>
        <w:rPr>
          <w:rFonts w:cs="Arial"/>
          <w:szCs w:val="28"/>
        </w:rPr>
      </w:pPr>
    </w:p>
    <w:p w14:paraId="61A0AD0A" w14:textId="77777777" w:rsidR="00533B70" w:rsidRDefault="00533B70" w:rsidP="00533B70">
      <w:r w:rsidRPr="00ED0CBE">
        <w:t xml:space="preserve">A communication passport is a way of supporting a vulnerable person with communication difficulties across transitions, drawing together complex information (including the person’s own views, as much as possible) and distilling it into a clear, </w:t>
      </w:r>
      <w:proofErr w:type="gramStart"/>
      <w:r w:rsidRPr="00ED0CBE">
        <w:t>positive</w:t>
      </w:r>
      <w:proofErr w:type="gramEnd"/>
      <w:r w:rsidRPr="00ED0CBE">
        <w:t xml:space="preserve"> and accessible format. This helps staff and conversation partners to get to know the person with communication disabilities. They can then interact</w:t>
      </w:r>
      <w:r>
        <w:t xml:space="preserve"> and </w:t>
      </w:r>
      <w:r w:rsidRPr="00ED0CBE">
        <w:t>respond consistently to help the person make sense of events and get the best out of what communication abilities they do have.</w:t>
      </w:r>
    </w:p>
    <w:p w14:paraId="6C1B401B" w14:textId="77777777" w:rsidR="00533B70" w:rsidRPr="00ED0CBE" w:rsidRDefault="00533B70" w:rsidP="00533B70"/>
    <w:p w14:paraId="6C774617" w14:textId="77777777" w:rsidR="00533B70" w:rsidRDefault="00533B70" w:rsidP="00533B70">
      <w:r w:rsidRPr="00ED0CBE">
        <w:t xml:space="preserve">A communication passport is a vital tool in </w:t>
      </w:r>
      <w:r>
        <w:t>"</w:t>
      </w:r>
      <w:r w:rsidRPr="00ED0CBE">
        <w:t>joined</w:t>
      </w:r>
      <w:r>
        <w:t>-</w:t>
      </w:r>
      <w:r w:rsidRPr="00ED0CBE">
        <w:t>up</w:t>
      </w:r>
      <w:r>
        <w:t>"</w:t>
      </w:r>
      <w:r w:rsidRPr="00ED0CBE">
        <w:t xml:space="preserve"> inter-agency planning and working. It promotes partnership with families and is an excellent a way of implementing and recording consultation</w:t>
      </w:r>
      <w:r>
        <w:t xml:space="preserve"> and </w:t>
      </w:r>
      <w:r w:rsidRPr="00ED0CBE">
        <w:t>participation of the individual.</w:t>
      </w:r>
    </w:p>
    <w:p w14:paraId="36C8CAFB" w14:textId="77777777" w:rsidR="00533B70" w:rsidRPr="00ED0CBE" w:rsidRDefault="00533B70" w:rsidP="00533B70"/>
    <w:p w14:paraId="501FC4F1" w14:textId="77777777" w:rsidR="00533B70" w:rsidRDefault="00533B70" w:rsidP="00533B70">
      <w:r w:rsidRPr="00ED0CBE">
        <w:t xml:space="preserve">The communication passport belongs to the </w:t>
      </w:r>
      <w:r w:rsidRPr="001F237E">
        <w:rPr>
          <w:bCs/>
          <w:iCs/>
        </w:rPr>
        <w:t>person</w:t>
      </w:r>
      <w:r>
        <w:t xml:space="preserve">, </w:t>
      </w:r>
      <w:r w:rsidRPr="00ED0CBE">
        <w:t xml:space="preserve">not to staff or family, though they may help him or her to use it appropriately and update it. Passports are especially important at times of </w:t>
      </w:r>
      <w:proofErr w:type="gramStart"/>
      <w:r w:rsidRPr="00ED0CBE">
        <w:t>transition, when</w:t>
      </w:r>
      <w:proofErr w:type="gramEnd"/>
      <w:r w:rsidRPr="00ED0CBE">
        <w:t xml:space="preserve"> new people come into the person’s life and information may not be passed on. They are also helpful when new or temporary staff or volunteers meet the </w:t>
      </w:r>
      <w:r w:rsidRPr="00ED0CBE">
        <w:lastRenderedPageBreak/>
        <w:t xml:space="preserve">person, helping them </w:t>
      </w:r>
      <w:r>
        <w:t xml:space="preserve">to </w:t>
      </w:r>
      <w:r w:rsidRPr="00ED0CBE">
        <w:t xml:space="preserve">quickly acquire key information, or for example, introducing a person to a new foster family. </w:t>
      </w:r>
    </w:p>
    <w:p w14:paraId="6DD32F82" w14:textId="77777777" w:rsidR="00533B70" w:rsidRDefault="00533B70" w:rsidP="00533B70"/>
    <w:p w14:paraId="59D285E3" w14:textId="77777777" w:rsidR="00533B70" w:rsidRPr="00ED0CBE" w:rsidRDefault="00533B70" w:rsidP="00533B70">
      <w:r w:rsidRPr="00ED0CBE">
        <w:t xml:space="preserve">The process of creating a passport can help </w:t>
      </w:r>
      <w:r>
        <w:t>with assess</w:t>
      </w:r>
      <w:r w:rsidRPr="00ED0CBE">
        <w:t>ing people and their needs, and in identifying gaps in assessment.</w:t>
      </w:r>
      <w:r>
        <w:t xml:space="preserve"> For more information visit:</w:t>
      </w:r>
    </w:p>
    <w:p w14:paraId="7C673273" w14:textId="77777777" w:rsidR="00533B70" w:rsidRDefault="007F0885" w:rsidP="00533B70">
      <w:pPr>
        <w:rPr>
          <w:szCs w:val="28"/>
        </w:rPr>
      </w:pPr>
      <w:hyperlink r:id="rId18" w:history="1">
        <w:r w:rsidR="00533B70" w:rsidRPr="00107A81">
          <w:rPr>
            <w:rStyle w:val="Hyperlink"/>
            <w:szCs w:val="28"/>
          </w:rPr>
          <w:t>http://www.communicationmatters.org.uk/page/communication-passports</w:t>
        </w:r>
      </w:hyperlink>
    </w:p>
    <w:p w14:paraId="1E074F94" w14:textId="77777777" w:rsidR="00533B70" w:rsidRDefault="00533B70" w:rsidP="00533B70">
      <w:pPr>
        <w:rPr>
          <w:szCs w:val="28"/>
        </w:rPr>
      </w:pPr>
    </w:p>
    <w:p w14:paraId="1984A687" w14:textId="77777777" w:rsidR="00533B70" w:rsidRDefault="00533B70" w:rsidP="00533B70">
      <w:pPr>
        <w:pStyle w:val="Heading2"/>
      </w:pPr>
      <w:bookmarkStart w:id="1" w:name="_Appendix_2"/>
      <w:bookmarkEnd w:id="1"/>
      <w:r>
        <w:t xml:space="preserve">Appendix 2 </w:t>
      </w:r>
    </w:p>
    <w:p w14:paraId="10F540A5" w14:textId="77777777" w:rsidR="00533B70" w:rsidRDefault="00533B70" w:rsidP="00533B70">
      <w:pPr>
        <w:rPr>
          <w:szCs w:val="28"/>
        </w:rPr>
      </w:pPr>
      <w:r>
        <w:rPr>
          <w:szCs w:val="28"/>
        </w:rPr>
        <w:t>Mental Capacity Act 2005 (England, Wales, Northern Ireland)</w:t>
      </w:r>
    </w:p>
    <w:p w14:paraId="2BBDA4E0" w14:textId="77777777" w:rsidR="00533B70" w:rsidRDefault="007F0885" w:rsidP="00533B70">
      <w:pPr>
        <w:rPr>
          <w:szCs w:val="28"/>
        </w:rPr>
      </w:pPr>
      <w:hyperlink r:id="rId19" w:history="1">
        <w:r w:rsidR="00533B70" w:rsidRPr="00107A81">
          <w:rPr>
            <w:rStyle w:val="Hyperlink"/>
            <w:szCs w:val="28"/>
          </w:rPr>
          <w:t>http://www.legislation.gov.uk/ukpga/2005/9/contents</w:t>
        </w:r>
      </w:hyperlink>
    </w:p>
    <w:p w14:paraId="256B024A" w14:textId="77777777" w:rsidR="00533B70" w:rsidRDefault="00533B70" w:rsidP="00533B70">
      <w:pPr>
        <w:rPr>
          <w:szCs w:val="28"/>
        </w:rPr>
      </w:pPr>
    </w:p>
    <w:p w14:paraId="15438D5A" w14:textId="77777777" w:rsidR="00533B70" w:rsidRDefault="00533B70" w:rsidP="00533B70">
      <w:pPr>
        <w:rPr>
          <w:szCs w:val="28"/>
        </w:rPr>
      </w:pPr>
      <w:r>
        <w:rPr>
          <w:szCs w:val="28"/>
        </w:rPr>
        <w:t>Adults with Incapacity Act 2000 (Scotland)</w:t>
      </w:r>
    </w:p>
    <w:p w14:paraId="5B927F93" w14:textId="77777777" w:rsidR="00533B70" w:rsidRDefault="007F0885" w:rsidP="00533B70">
      <w:pPr>
        <w:rPr>
          <w:szCs w:val="28"/>
        </w:rPr>
      </w:pPr>
      <w:hyperlink r:id="rId20" w:history="1">
        <w:r w:rsidR="00533B70" w:rsidRPr="00107A81">
          <w:rPr>
            <w:rStyle w:val="Hyperlink"/>
            <w:szCs w:val="28"/>
          </w:rPr>
          <w:t>http://www.legislation.gov.uk/asp/2000/4/contents</w:t>
        </w:r>
      </w:hyperlink>
    </w:p>
    <w:p w14:paraId="1E3507FD" w14:textId="77777777" w:rsidR="00533B70" w:rsidRDefault="00533B70" w:rsidP="00533B70">
      <w:pPr>
        <w:rPr>
          <w:szCs w:val="28"/>
        </w:rPr>
      </w:pPr>
    </w:p>
    <w:p w14:paraId="738049BA" w14:textId="224B98B4" w:rsidR="00533B70" w:rsidRDefault="00533B70" w:rsidP="00533B70">
      <w:r>
        <w:t>Last updated June 2021.</w:t>
      </w:r>
    </w:p>
    <w:p w14:paraId="492DF02E" w14:textId="0263F6CC" w:rsidR="00533B70" w:rsidRDefault="00533B70" w:rsidP="00533B70"/>
    <w:p w14:paraId="4FFF9AAB" w14:textId="2AB8BC1E" w:rsidR="00533B70" w:rsidRDefault="00533B70" w:rsidP="00533B70">
      <w:r>
        <w:t>Document ends.</w:t>
      </w:r>
    </w:p>
    <w:sectPr w:rsidR="00533B70" w:rsidSect="00734FAE">
      <w:footerReference w:type="default" r:id="rId21"/>
      <w:headerReference w:type="first" r:id="rId22"/>
      <w:footerReference w:type="first" r:id="rId23"/>
      <w:endnotePr>
        <w:numFmt w:val="decimal"/>
      </w:endnotePr>
      <w:pgSz w:w="11900" w:h="16840"/>
      <w:pgMar w:top="930" w:right="1797" w:bottom="1440" w:left="851" w:header="852" w:footer="119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3CAE1" w14:textId="77777777" w:rsidR="00AF1100" w:rsidRDefault="00AF1100" w:rsidP="00267A35">
      <w:r>
        <w:separator/>
      </w:r>
    </w:p>
  </w:endnote>
  <w:endnote w:type="continuationSeparator" w:id="0">
    <w:p w14:paraId="0160D689" w14:textId="77777777" w:rsidR="00AF1100" w:rsidRDefault="00AF1100" w:rsidP="0026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FormSans-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58D75" w14:textId="77777777" w:rsidR="00325BAE" w:rsidRDefault="007F0885" w:rsidP="00325BAE">
    <w:pPr>
      <w:pStyle w:val="Normalnogap"/>
    </w:pPr>
    <w:r>
      <w:rPr>
        <w:noProof/>
      </w:rPr>
      <w:pict w14:anchorId="3947F97D">
        <v:rect id="Rectangle 1" o:spid="_x0000_s2054" alt="Title: image 2 - Description: Pink seperation line" style="position:absolute;margin-left:.7pt;margin-top:4.75pt;width:497.75pt;height:9.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" fillcolor="#e50071" stroked="f"/>
      </w:pict>
    </w:r>
  </w:p>
  <w:p w14:paraId="62DA9CD7" w14:textId="70DF40A8" w:rsidR="00325BAE" w:rsidRDefault="00325BAE" w:rsidP="00325BAE">
    <w:pPr>
      <w:pStyle w:val="Heading3"/>
    </w:pPr>
    <w:r w:rsidRPr="00267A35">
      <w:t>rnib.org.u</w:t>
    </w:r>
    <w:r>
      <w:t>k</w:t>
    </w:r>
    <w:r w:rsidR="008C5659">
      <w:t xml:space="preserve">                                                                                 </w:t>
    </w:r>
    <w:r w:rsidRPr="008C5659">
      <w:rPr>
        <w:b w:val="0"/>
        <w:bCs/>
      </w:rPr>
      <w:fldChar w:fldCharType="begin"/>
    </w:r>
    <w:r w:rsidRPr="008C5659">
      <w:rPr>
        <w:b w:val="0"/>
        <w:bCs/>
      </w:rPr>
      <w:instrText xml:space="preserve"> PAGE   \* MERGEFORMAT </w:instrText>
    </w:r>
    <w:r w:rsidRPr="008C5659">
      <w:rPr>
        <w:b w:val="0"/>
        <w:bCs/>
      </w:rPr>
      <w:fldChar w:fldCharType="separate"/>
    </w:r>
    <w:r w:rsidRPr="008C5659">
      <w:rPr>
        <w:b w:val="0"/>
        <w:bCs/>
        <w:noProof/>
      </w:rPr>
      <w:t>2</w:t>
    </w:r>
    <w:r w:rsidRPr="008C5659">
      <w:rPr>
        <w:b w:val="0"/>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2B0A" w14:textId="77777777" w:rsidR="00C05EFD" w:rsidRDefault="00C05EFD" w:rsidP="00267A35">
    <w:pPr>
      <w:pStyle w:val="Footer"/>
    </w:pPr>
  </w:p>
  <w:p w14:paraId="5F5EFA58" w14:textId="77777777" w:rsidR="00C05EFD" w:rsidRDefault="00C05EFD" w:rsidP="00267A35">
    <w:pPr>
      <w:pStyle w:val="Footer"/>
    </w:pPr>
  </w:p>
  <w:p w14:paraId="59B6E865" w14:textId="77777777" w:rsidR="00C05EFD" w:rsidRDefault="00C05EFD" w:rsidP="00267A35">
    <w:pPr>
      <w:pStyle w:val="Footer"/>
    </w:pPr>
  </w:p>
  <w:p w14:paraId="58FE5025" w14:textId="77777777" w:rsidR="00C05EFD" w:rsidRDefault="00C05EFD" w:rsidP="00267A35">
    <w:pPr>
      <w:pStyle w:val="Footer"/>
    </w:pPr>
  </w:p>
  <w:p w14:paraId="2F557309" w14:textId="77777777" w:rsidR="00C05EFD" w:rsidRDefault="00C05EFD" w:rsidP="00267A35">
    <w:pPr>
      <w:pStyle w:val="Footer"/>
    </w:pPr>
  </w:p>
  <w:p w14:paraId="7C2AE0B4" w14:textId="3A8FA029" w:rsidR="00C05EFD" w:rsidRDefault="00C05EFD" w:rsidP="00267A35">
    <w:pPr>
      <w:pStyle w:val="Footer"/>
    </w:pPr>
  </w:p>
  <w:p w14:paraId="33000CFA" w14:textId="77777777" w:rsidR="00B95C75" w:rsidRDefault="00B95C75" w:rsidP="0026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30C3" w14:textId="77777777" w:rsidR="00AF1100" w:rsidRDefault="00AF1100" w:rsidP="00267A35">
      <w:r>
        <w:separator/>
      </w:r>
    </w:p>
  </w:footnote>
  <w:footnote w:type="continuationSeparator" w:id="0">
    <w:p w14:paraId="7ED8E7EF" w14:textId="77777777" w:rsidR="00AF1100" w:rsidRDefault="00AF1100" w:rsidP="0026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7998" w14:textId="77777777" w:rsidR="00C24E97" w:rsidRPr="00C24E97" w:rsidRDefault="007F0885" w:rsidP="00267A35">
    <w:r>
      <w:rPr>
        <w:noProof/>
      </w:rPr>
      <w:pict w14:anchorId="62D4F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style="position:absolute;margin-left:-45.6pt;margin-top:-42.9pt;width:594.9pt;height:816.85pt;z-index:251658240;visibility:visible">
          <v:imagedata r:id="rId1" o:title=""/>
        </v:shape>
      </w:pict>
    </w:r>
    <w:r w:rsidR="00C24E97" w:rsidRPr="00C24E97">
      <w:t xml:space="preserve">Call 0303 </w:t>
    </w:r>
    <w:r w:rsidR="00F8206E">
      <w:t>123 9999</w:t>
    </w:r>
  </w:p>
  <w:p w14:paraId="05FE83B4" w14:textId="77777777" w:rsidR="00C24E97" w:rsidRPr="00C24E97" w:rsidRDefault="00C24E97" w:rsidP="00267A35"/>
  <w:p w14:paraId="100F4ECF" w14:textId="77777777" w:rsidR="00C24E97" w:rsidRDefault="00C24E97" w:rsidP="00267A35">
    <w:r w:rsidRPr="00C24E97">
      <w:t>Bringing together people affected by sight loss</w:t>
    </w:r>
  </w:p>
  <w:p w14:paraId="364F1A71" w14:textId="77777777" w:rsidR="00C05EFD" w:rsidRDefault="00C05EFD" w:rsidP="00267A35"/>
  <w:p w14:paraId="13B62038" w14:textId="77777777" w:rsidR="00C24E97" w:rsidRDefault="00C24E97" w:rsidP="00267A35"/>
  <w:p w14:paraId="4CFEBC8A" w14:textId="77777777" w:rsidR="00C24E97" w:rsidRDefault="00C24E97" w:rsidP="00267A35"/>
  <w:p w14:paraId="6393DCD0" w14:textId="77777777" w:rsidR="00C24E97" w:rsidRDefault="007F0885" w:rsidP="00267A35">
    <w:r>
      <w:rPr>
        <w:noProof/>
        <w:lang w:val="en-US" w:eastAsia="en-US"/>
      </w:rPr>
      <w:pict w14:anchorId="27900592">
        <v:shape id="_x0000_i1025" type="#_x0000_t75" style="width:595pt;height:842pt;visibility:visible">
          <v:imagedata r:id="rId2" o:title=""/>
        </v:shape>
      </w:pict>
    </w:r>
  </w:p>
  <w:p w14:paraId="3A8AF9DE" w14:textId="77777777" w:rsidR="00C24E97" w:rsidRDefault="00C24E97" w:rsidP="00267A35"/>
  <w:p w14:paraId="00A09F7B" w14:textId="77777777" w:rsidR="00C24E97" w:rsidRDefault="00C24E97" w:rsidP="00267A35"/>
  <w:p w14:paraId="2D12DF64" w14:textId="77777777" w:rsidR="00C24E97" w:rsidRPr="00C24E97" w:rsidRDefault="00C24E97" w:rsidP="00267A35"/>
  <w:p w14:paraId="4810D187" w14:textId="77777777" w:rsidR="00C24E97" w:rsidRPr="00C24E97" w:rsidRDefault="00C24E97" w:rsidP="00267A35"/>
  <w:p w14:paraId="4842F0FC" w14:textId="77777777" w:rsidR="00C24E97" w:rsidRDefault="007F0885" w:rsidP="00267A35">
    <w:pPr>
      <w:pStyle w:val="Header"/>
    </w:pPr>
    <w:r>
      <w:rPr>
        <w:noProof/>
        <w:lang w:val="en-US" w:eastAsia="en-US"/>
      </w:rPr>
      <w:pict w14:anchorId="5B3272EE">
        <v:shape id="_x0000_i1026" type="#_x0000_t75" style="width:595pt;height:841.5pt;visibility:visible">
          <v:imagedata r:id="rId3"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0C271B4"/>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FFFFFF89"/>
    <w:multiLevelType w:val="singleLevel"/>
    <w:tmpl w:val="4B78ADD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3C5471A"/>
    <w:multiLevelType w:val="hybridMultilevel"/>
    <w:tmpl w:val="D712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1542B"/>
    <w:multiLevelType w:val="hybridMultilevel"/>
    <w:tmpl w:val="59940174"/>
    <w:lvl w:ilvl="0" w:tplc="1C78749E">
      <w:start w:val="1"/>
      <w:numFmt w:val="decimal"/>
      <w:suff w:val="space"/>
      <w:lvlText w:val="[%1]"/>
      <w:lvlJc w:val="left"/>
      <w:pPr>
        <w:ind w:left="0" w:firstLine="0"/>
      </w:pPr>
      <w:rPr>
        <w:rFonts w:ascii="Arial" w:hAnsi="Arial"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22E31"/>
    <w:multiLevelType w:val="hybridMultilevel"/>
    <w:tmpl w:val="85685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AD7D1C"/>
    <w:multiLevelType w:val="hybridMultilevel"/>
    <w:tmpl w:val="CE2C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1"/>
  </w:num>
  <w:num w:numId="6">
    <w:abstractNumId w:val="0"/>
    <w:lvlOverride w:ilvl="0">
      <w:startOverride w:val="1"/>
    </w:lvlOverride>
  </w:num>
  <w:num w:numId="7">
    <w:abstractNumId w:val="1"/>
  </w:num>
  <w:num w:numId="8">
    <w:abstractNumId w:val="0"/>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EA6"/>
    <w:rsid w:val="00002FA2"/>
    <w:rsid w:val="00036C10"/>
    <w:rsid w:val="00052168"/>
    <w:rsid w:val="00055309"/>
    <w:rsid w:val="00056A2D"/>
    <w:rsid w:val="000718E7"/>
    <w:rsid w:val="00073091"/>
    <w:rsid w:val="00075F19"/>
    <w:rsid w:val="00087B12"/>
    <w:rsid w:val="000A166B"/>
    <w:rsid w:val="000A67C9"/>
    <w:rsid w:val="000D290E"/>
    <w:rsid w:val="000E29EB"/>
    <w:rsid w:val="000E5642"/>
    <w:rsid w:val="000E61AC"/>
    <w:rsid w:val="000F19C5"/>
    <w:rsid w:val="000F5C63"/>
    <w:rsid w:val="0010063D"/>
    <w:rsid w:val="001010B3"/>
    <w:rsid w:val="00120194"/>
    <w:rsid w:val="00120808"/>
    <w:rsid w:val="00134561"/>
    <w:rsid w:val="0013637C"/>
    <w:rsid w:val="00143B76"/>
    <w:rsid w:val="001609C8"/>
    <w:rsid w:val="001637E3"/>
    <w:rsid w:val="001661D3"/>
    <w:rsid w:val="00166781"/>
    <w:rsid w:val="001867EB"/>
    <w:rsid w:val="0018757E"/>
    <w:rsid w:val="00190903"/>
    <w:rsid w:val="00191139"/>
    <w:rsid w:val="001A01FC"/>
    <w:rsid w:val="001A43F1"/>
    <w:rsid w:val="001A56DE"/>
    <w:rsid w:val="001C5084"/>
    <w:rsid w:val="001F776D"/>
    <w:rsid w:val="002149C2"/>
    <w:rsid w:val="00222F38"/>
    <w:rsid w:val="00223A09"/>
    <w:rsid w:val="00227FDE"/>
    <w:rsid w:val="002449E0"/>
    <w:rsid w:val="002468BE"/>
    <w:rsid w:val="00266927"/>
    <w:rsid w:val="00267A35"/>
    <w:rsid w:val="00271A92"/>
    <w:rsid w:val="00273A95"/>
    <w:rsid w:val="00275909"/>
    <w:rsid w:val="00281678"/>
    <w:rsid w:val="002858C6"/>
    <w:rsid w:val="00292975"/>
    <w:rsid w:val="00295785"/>
    <w:rsid w:val="002A3051"/>
    <w:rsid w:val="002A5663"/>
    <w:rsid w:val="002B310E"/>
    <w:rsid w:val="002B6054"/>
    <w:rsid w:val="002B73CC"/>
    <w:rsid w:val="002C2ABD"/>
    <w:rsid w:val="002D2997"/>
    <w:rsid w:val="002E34B9"/>
    <w:rsid w:val="002F60EC"/>
    <w:rsid w:val="00301518"/>
    <w:rsid w:val="00306D41"/>
    <w:rsid w:val="00314D5B"/>
    <w:rsid w:val="00323BD7"/>
    <w:rsid w:val="00325BAE"/>
    <w:rsid w:val="003651F6"/>
    <w:rsid w:val="00385E96"/>
    <w:rsid w:val="00396A7E"/>
    <w:rsid w:val="003B2F63"/>
    <w:rsid w:val="003C16D9"/>
    <w:rsid w:val="003C3440"/>
    <w:rsid w:val="003D1F06"/>
    <w:rsid w:val="003D2C7F"/>
    <w:rsid w:val="003D6F37"/>
    <w:rsid w:val="003F550F"/>
    <w:rsid w:val="0040310C"/>
    <w:rsid w:val="00412C04"/>
    <w:rsid w:val="004219E9"/>
    <w:rsid w:val="004424B8"/>
    <w:rsid w:val="00450EA6"/>
    <w:rsid w:val="004533C7"/>
    <w:rsid w:val="00461549"/>
    <w:rsid w:val="004672B2"/>
    <w:rsid w:val="00475659"/>
    <w:rsid w:val="004761F5"/>
    <w:rsid w:val="004768F6"/>
    <w:rsid w:val="00480BD5"/>
    <w:rsid w:val="00481D89"/>
    <w:rsid w:val="00495159"/>
    <w:rsid w:val="004957C9"/>
    <w:rsid w:val="004B6E51"/>
    <w:rsid w:val="004C085E"/>
    <w:rsid w:val="004C162D"/>
    <w:rsid w:val="004C3168"/>
    <w:rsid w:val="004D52C9"/>
    <w:rsid w:val="004E0D8B"/>
    <w:rsid w:val="004E2179"/>
    <w:rsid w:val="004E62C4"/>
    <w:rsid w:val="00502861"/>
    <w:rsid w:val="005066FD"/>
    <w:rsid w:val="00533B70"/>
    <w:rsid w:val="00540566"/>
    <w:rsid w:val="00543DC1"/>
    <w:rsid w:val="005664BF"/>
    <w:rsid w:val="0058304C"/>
    <w:rsid w:val="00583DF1"/>
    <w:rsid w:val="00584C35"/>
    <w:rsid w:val="00585700"/>
    <w:rsid w:val="00585B37"/>
    <w:rsid w:val="00590801"/>
    <w:rsid w:val="00590C83"/>
    <w:rsid w:val="0059381F"/>
    <w:rsid w:val="005A60E5"/>
    <w:rsid w:val="005B6064"/>
    <w:rsid w:val="005B6D54"/>
    <w:rsid w:val="005C0042"/>
    <w:rsid w:val="005C2B7F"/>
    <w:rsid w:val="005E3921"/>
    <w:rsid w:val="005E5B72"/>
    <w:rsid w:val="005F2BFA"/>
    <w:rsid w:val="00602E9D"/>
    <w:rsid w:val="00611226"/>
    <w:rsid w:val="00620256"/>
    <w:rsid w:val="0064132E"/>
    <w:rsid w:val="00643FE9"/>
    <w:rsid w:val="0065412A"/>
    <w:rsid w:val="0066037F"/>
    <w:rsid w:val="006628A0"/>
    <w:rsid w:val="00665501"/>
    <w:rsid w:val="006659F1"/>
    <w:rsid w:val="006750CC"/>
    <w:rsid w:val="006759D6"/>
    <w:rsid w:val="00677B8D"/>
    <w:rsid w:val="00682F85"/>
    <w:rsid w:val="00692E6F"/>
    <w:rsid w:val="006A2830"/>
    <w:rsid w:val="006B07AC"/>
    <w:rsid w:val="006B75A4"/>
    <w:rsid w:val="006D1966"/>
    <w:rsid w:val="006D1EFA"/>
    <w:rsid w:val="006D71D0"/>
    <w:rsid w:val="006E2D8E"/>
    <w:rsid w:val="006F0CF6"/>
    <w:rsid w:val="00704832"/>
    <w:rsid w:val="00720145"/>
    <w:rsid w:val="0072710D"/>
    <w:rsid w:val="00734FAE"/>
    <w:rsid w:val="00736318"/>
    <w:rsid w:val="00740B7D"/>
    <w:rsid w:val="00745EC3"/>
    <w:rsid w:val="007733ED"/>
    <w:rsid w:val="00774B6F"/>
    <w:rsid w:val="007841A8"/>
    <w:rsid w:val="0078649B"/>
    <w:rsid w:val="00786567"/>
    <w:rsid w:val="00791632"/>
    <w:rsid w:val="007972A8"/>
    <w:rsid w:val="007A4759"/>
    <w:rsid w:val="007B127A"/>
    <w:rsid w:val="007B185C"/>
    <w:rsid w:val="007B6E68"/>
    <w:rsid w:val="007B712F"/>
    <w:rsid w:val="007C11A2"/>
    <w:rsid w:val="007D2B8F"/>
    <w:rsid w:val="007D44C5"/>
    <w:rsid w:val="007D4DDD"/>
    <w:rsid w:val="007D7008"/>
    <w:rsid w:val="007D7284"/>
    <w:rsid w:val="007D7BC2"/>
    <w:rsid w:val="007F0885"/>
    <w:rsid w:val="007F1ED1"/>
    <w:rsid w:val="007F3342"/>
    <w:rsid w:val="007F420B"/>
    <w:rsid w:val="007F48BC"/>
    <w:rsid w:val="008008D1"/>
    <w:rsid w:val="00805590"/>
    <w:rsid w:val="00814B95"/>
    <w:rsid w:val="008462A4"/>
    <w:rsid w:val="008575DA"/>
    <w:rsid w:val="00861E21"/>
    <w:rsid w:val="00864529"/>
    <w:rsid w:val="00864570"/>
    <w:rsid w:val="00871F11"/>
    <w:rsid w:val="00874973"/>
    <w:rsid w:val="00874C4F"/>
    <w:rsid w:val="0089087A"/>
    <w:rsid w:val="008908D1"/>
    <w:rsid w:val="0089254B"/>
    <w:rsid w:val="008A5E96"/>
    <w:rsid w:val="008B6770"/>
    <w:rsid w:val="008B7215"/>
    <w:rsid w:val="008C1301"/>
    <w:rsid w:val="008C1660"/>
    <w:rsid w:val="008C5659"/>
    <w:rsid w:val="008C624E"/>
    <w:rsid w:val="008C7637"/>
    <w:rsid w:val="008D13AF"/>
    <w:rsid w:val="008D36D4"/>
    <w:rsid w:val="008E3EA7"/>
    <w:rsid w:val="008F00E2"/>
    <w:rsid w:val="008F4941"/>
    <w:rsid w:val="00913FC7"/>
    <w:rsid w:val="00920008"/>
    <w:rsid w:val="009247F1"/>
    <w:rsid w:val="0094050E"/>
    <w:rsid w:val="009428A0"/>
    <w:rsid w:val="00943F8A"/>
    <w:rsid w:val="009469BC"/>
    <w:rsid w:val="00973F31"/>
    <w:rsid w:val="009828DA"/>
    <w:rsid w:val="00983AFD"/>
    <w:rsid w:val="00985CDA"/>
    <w:rsid w:val="009866AE"/>
    <w:rsid w:val="009A4C32"/>
    <w:rsid w:val="009B05E6"/>
    <w:rsid w:val="009C0EFC"/>
    <w:rsid w:val="009C0F20"/>
    <w:rsid w:val="009E0C5F"/>
    <w:rsid w:val="009E72A6"/>
    <w:rsid w:val="009F531B"/>
    <w:rsid w:val="00A06169"/>
    <w:rsid w:val="00A32A5D"/>
    <w:rsid w:val="00A341F2"/>
    <w:rsid w:val="00A356F3"/>
    <w:rsid w:val="00A635BA"/>
    <w:rsid w:val="00A64048"/>
    <w:rsid w:val="00A65D2C"/>
    <w:rsid w:val="00A92166"/>
    <w:rsid w:val="00AC19AC"/>
    <w:rsid w:val="00AE0EB1"/>
    <w:rsid w:val="00AE7B5C"/>
    <w:rsid w:val="00AF1100"/>
    <w:rsid w:val="00B03192"/>
    <w:rsid w:val="00B05A9B"/>
    <w:rsid w:val="00B21A98"/>
    <w:rsid w:val="00B2327D"/>
    <w:rsid w:val="00B50C7E"/>
    <w:rsid w:val="00B53524"/>
    <w:rsid w:val="00B55314"/>
    <w:rsid w:val="00B554AA"/>
    <w:rsid w:val="00B57C51"/>
    <w:rsid w:val="00B57D90"/>
    <w:rsid w:val="00B71AD7"/>
    <w:rsid w:val="00B77478"/>
    <w:rsid w:val="00B85CC6"/>
    <w:rsid w:val="00B93C95"/>
    <w:rsid w:val="00B95C75"/>
    <w:rsid w:val="00B95F2C"/>
    <w:rsid w:val="00BA6F6F"/>
    <w:rsid w:val="00BB6226"/>
    <w:rsid w:val="00BC30B9"/>
    <w:rsid w:val="00BD09E9"/>
    <w:rsid w:val="00BD35FE"/>
    <w:rsid w:val="00BE45EA"/>
    <w:rsid w:val="00BE54AD"/>
    <w:rsid w:val="00BE59AC"/>
    <w:rsid w:val="00BF212E"/>
    <w:rsid w:val="00BF3846"/>
    <w:rsid w:val="00BF5FEE"/>
    <w:rsid w:val="00C00AFE"/>
    <w:rsid w:val="00C05EFD"/>
    <w:rsid w:val="00C07314"/>
    <w:rsid w:val="00C13980"/>
    <w:rsid w:val="00C146F5"/>
    <w:rsid w:val="00C14822"/>
    <w:rsid w:val="00C24E97"/>
    <w:rsid w:val="00C31328"/>
    <w:rsid w:val="00C33952"/>
    <w:rsid w:val="00C35B32"/>
    <w:rsid w:val="00C35D70"/>
    <w:rsid w:val="00C40DC2"/>
    <w:rsid w:val="00C428B2"/>
    <w:rsid w:val="00C8036D"/>
    <w:rsid w:val="00C8505C"/>
    <w:rsid w:val="00C934D7"/>
    <w:rsid w:val="00C95C8B"/>
    <w:rsid w:val="00CA2CBC"/>
    <w:rsid w:val="00CA3B9F"/>
    <w:rsid w:val="00CB7375"/>
    <w:rsid w:val="00CC3273"/>
    <w:rsid w:val="00CD1905"/>
    <w:rsid w:val="00CD5C80"/>
    <w:rsid w:val="00CD62E2"/>
    <w:rsid w:val="00CD6932"/>
    <w:rsid w:val="00CD6DE0"/>
    <w:rsid w:val="00CF11D9"/>
    <w:rsid w:val="00CF2F37"/>
    <w:rsid w:val="00D01FC1"/>
    <w:rsid w:val="00D022FB"/>
    <w:rsid w:val="00D046DD"/>
    <w:rsid w:val="00D06359"/>
    <w:rsid w:val="00D21801"/>
    <w:rsid w:val="00D333C1"/>
    <w:rsid w:val="00D672E7"/>
    <w:rsid w:val="00D70451"/>
    <w:rsid w:val="00D97F7A"/>
    <w:rsid w:val="00DA3289"/>
    <w:rsid w:val="00DA447D"/>
    <w:rsid w:val="00DA69FC"/>
    <w:rsid w:val="00DB0DE6"/>
    <w:rsid w:val="00DD7650"/>
    <w:rsid w:val="00E06AE7"/>
    <w:rsid w:val="00E07128"/>
    <w:rsid w:val="00E100FA"/>
    <w:rsid w:val="00E17BA6"/>
    <w:rsid w:val="00E20823"/>
    <w:rsid w:val="00E241EC"/>
    <w:rsid w:val="00E26D24"/>
    <w:rsid w:val="00E27989"/>
    <w:rsid w:val="00E35A2C"/>
    <w:rsid w:val="00E37DB5"/>
    <w:rsid w:val="00E5092C"/>
    <w:rsid w:val="00E51662"/>
    <w:rsid w:val="00E52A0F"/>
    <w:rsid w:val="00E609F4"/>
    <w:rsid w:val="00E6626C"/>
    <w:rsid w:val="00E92C09"/>
    <w:rsid w:val="00E94111"/>
    <w:rsid w:val="00E955D6"/>
    <w:rsid w:val="00E97656"/>
    <w:rsid w:val="00EA022B"/>
    <w:rsid w:val="00EB55B5"/>
    <w:rsid w:val="00EE10B5"/>
    <w:rsid w:val="00EE3581"/>
    <w:rsid w:val="00EE3887"/>
    <w:rsid w:val="00EF5C6A"/>
    <w:rsid w:val="00F055D6"/>
    <w:rsid w:val="00F071C2"/>
    <w:rsid w:val="00F07AED"/>
    <w:rsid w:val="00F335AF"/>
    <w:rsid w:val="00F518AD"/>
    <w:rsid w:val="00F51C80"/>
    <w:rsid w:val="00F56C9E"/>
    <w:rsid w:val="00F60782"/>
    <w:rsid w:val="00F777B1"/>
    <w:rsid w:val="00F8206E"/>
    <w:rsid w:val="00F91C19"/>
    <w:rsid w:val="00FA2073"/>
    <w:rsid w:val="00FA74B1"/>
    <w:rsid w:val="00FB0CA7"/>
    <w:rsid w:val="00FB76F5"/>
    <w:rsid w:val="00FD27BD"/>
    <w:rsid w:val="00FD46D9"/>
    <w:rsid w:val="00FD48AF"/>
    <w:rsid w:val="00FD4EE8"/>
    <w:rsid w:val="00FE0D81"/>
    <w:rsid w:val="00FE18E6"/>
    <w:rsid w:val="00FF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ocId w14:val="01F177DD"/>
  <w14:defaultImageDpi w14:val="330"/>
  <w15:chartTrackingRefBased/>
  <w15:docId w15:val="{05ED943C-FF80-4827-8064-438079D1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82"/>
    <w:rPr>
      <w:rFonts w:ascii="Arial" w:hAnsi="Arial"/>
      <w:sz w:val="28"/>
    </w:rPr>
  </w:style>
  <w:style w:type="paragraph" w:styleId="Heading1">
    <w:name w:val="heading 1"/>
    <w:basedOn w:val="Normal"/>
    <w:next w:val="Normal"/>
    <w:link w:val="Heading1Char"/>
    <w:qFormat/>
    <w:rsid w:val="00F60782"/>
    <w:pPr>
      <w:keepNext/>
      <w:spacing w:after="140"/>
      <w:outlineLvl w:val="0"/>
    </w:pPr>
    <w:rPr>
      <w:rFonts w:eastAsia="MS Gothic"/>
      <w:b/>
      <w:kern w:val="32"/>
      <w:sz w:val="44"/>
    </w:rPr>
  </w:style>
  <w:style w:type="paragraph" w:styleId="Heading2">
    <w:name w:val="heading 2"/>
    <w:basedOn w:val="Normal"/>
    <w:next w:val="Normal"/>
    <w:link w:val="Heading2Char"/>
    <w:qFormat/>
    <w:rsid w:val="00F60782"/>
    <w:pPr>
      <w:keepNext/>
      <w:spacing w:after="120"/>
      <w:outlineLvl w:val="1"/>
    </w:pPr>
    <w:rPr>
      <w:rFonts w:eastAsia="MS Gothic"/>
      <w:b/>
      <w:sz w:val="36"/>
    </w:rPr>
  </w:style>
  <w:style w:type="paragraph" w:styleId="Heading3">
    <w:name w:val="heading 3"/>
    <w:basedOn w:val="Normal"/>
    <w:next w:val="Normal"/>
    <w:link w:val="Heading3Char"/>
    <w:qFormat/>
    <w:rsid w:val="00F60782"/>
    <w:pPr>
      <w:keepNext/>
      <w:spacing w:after="100"/>
      <w:outlineLvl w:val="2"/>
    </w:pPr>
    <w:rPr>
      <w:rFonts w:eastAsia="MS Gothic"/>
      <w:b/>
      <w:sz w:val="32"/>
    </w:rPr>
  </w:style>
  <w:style w:type="paragraph" w:styleId="Heading4">
    <w:name w:val="heading 4"/>
    <w:basedOn w:val="Normal"/>
    <w:next w:val="Normal"/>
    <w:link w:val="Heading4Char"/>
    <w:qFormat/>
    <w:rsid w:val="00F60782"/>
    <w:pPr>
      <w:keepNext/>
      <w:spacing w:after="80"/>
      <w:outlineLvl w:val="3"/>
    </w:pPr>
    <w:rPr>
      <w:rFonts w:eastAsia="MS Gothic"/>
      <w:b/>
    </w:rPr>
  </w:style>
  <w:style w:type="paragraph" w:styleId="Heading5">
    <w:name w:val="heading 5"/>
    <w:basedOn w:val="Normal"/>
    <w:next w:val="Normal"/>
    <w:link w:val="Heading5Char"/>
    <w:qFormat/>
    <w:rsid w:val="00F60782"/>
    <w:pPr>
      <w:keepNext/>
      <w:spacing w:after="60"/>
      <w:outlineLvl w:val="4"/>
    </w:pPr>
    <w:rPr>
      <w:rFonts w:eastAsia="MS Gothic"/>
      <w:b/>
    </w:rPr>
  </w:style>
  <w:style w:type="paragraph" w:styleId="Heading6">
    <w:name w:val="heading 6"/>
    <w:basedOn w:val="Normal"/>
    <w:next w:val="Normal"/>
    <w:link w:val="Heading6Char"/>
    <w:qFormat/>
    <w:rsid w:val="00F60782"/>
    <w:pPr>
      <w:keepNext/>
      <w:spacing w:after="40"/>
      <w:outlineLvl w:val="5"/>
    </w:pPr>
    <w:rPr>
      <w:rFonts w:eastAsia="MS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EA6"/>
    <w:pPr>
      <w:tabs>
        <w:tab w:val="center" w:pos="4320"/>
        <w:tab w:val="right" w:pos="8640"/>
      </w:tabs>
    </w:pPr>
  </w:style>
  <w:style w:type="character" w:customStyle="1" w:styleId="HeaderChar">
    <w:name w:val="Header Char"/>
    <w:link w:val="Header"/>
    <w:uiPriority w:val="99"/>
    <w:rsid w:val="00450EA6"/>
    <w:rPr>
      <w:sz w:val="24"/>
      <w:szCs w:val="24"/>
      <w:lang w:val="en-US" w:eastAsia="en-US"/>
    </w:rPr>
  </w:style>
  <w:style w:type="paragraph" w:styleId="Footer">
    <w:name w:val="footer"/>
    <w:basedOn w:val="Normal"/>
    <w:link w:val="FooterChar"/>
    <w:uiPriority w:val="99"/>
    <w:unhideWhenUsed/>
    <w:rsid w:val="00450EA6"/>
    <w:pPr>
      <w:tabs>
        <w:tab w:val="center" w:pos="4320"/>
        <w:tab w:val="right" w:pos="8640"/>
      </w:tabs>
    </w:pPr>
  </w:style>
  <w:style w:type="character" w:customStyle="1" w:styleId="FooterChar">
    <w:name w:val="Footer Char"/>
    <w:link w:val="Footer"/>
    <w:uiPriority w:val="99"/>
    <w:rsid w:val="00450EA6"/>
    <w:rPr>
      <w:sz w:val="24"/>
      <w:szCs w:val="24"/>
      <w:lang w:val="en-US" w:eastAsia="en-US"/>
    </w:rPr>
  </w:style>
  <w:style w:type="paragraph" w:styleId="BalloonText">
    <w:name w:val="Balloon Text"/>
    <w:basedOn w:val="Normal"/>
    <w:link w:val="BalloonTextChar"/>
    <w:uiPriority w:val="99"/>
    <w:semiHidden/>
    <w:unhideWhenUsed/>
    <w:rsid w:val="00450EA6"/>
    <w:rPr>
      <w:rFonts w:ascii="Lucida Grande" w:hAnsi="Lucida Grande" w:cs="Lucida Grande"/>
      <w:sz w:val="18"/>
      <w:szCs w:val="18"/>
    </w:rPr>
  </w:style>
  <w:style w:type="character" w:customStyle="1" w:styleId="BalloonTextChar">
    <w:name w:val="Balloon Text Char"/>
    <w:link w:val="BalloonText"/>
    <w:uiPriority w:val="99"/>
    <w:semiHidden/>
    <w:rsid w:val="00450EA6"/>
    <w:rPr>
      <w:rFonts w:ascii="Lucida Grande" w:hAnsi="Lucida Grande" w:cs="Lucida Grande"/>
      <w:sz w:val="18"/>
      <w:szCs w:val="18"/>
      <w:lang w:val="en-US" w:eastAsia="en-US"/>
    </w:rPr>
  </w:style>
  <w:style w:type="character" w:customStyle="1" w:styleId="Heading1Char">
    <w:name w:val="Heading 1 Char"/>
    <w:link w:val="Heading1"/>
    <w:rsid w:val="00267A35"/>
    <w:rPr>
      <w:rFonts w:ascii="Arial" w:eastAsia="MS Gothic" w:hAnsi="Arial"/>
      <w:b/>
      <w:kern w:val="32"/>
      <w:sz w:val="44"/>
    </w:rPr>
  </w:style>
  <w:style w:type="character" w:customStyle="1" w:styleId="Heading2Char">
    <w:name w:val="Heading 2 Char"/>
    <w:link w:val="Heading2"/>
    <w:rsid w:val="002B73CC"/>
    <w:rPr>
      <w:rFonts w:ascii="Arial" w:eastAsia="MS Gothic" w:hAnsi="Arial"/>
      <w:b/>
      <w:sz w:val="36"/>
    </w:rPr>
  </w:style>
  <w:style w:type="character" w:customStyle="1" w:styleId="Heading3Char">
    <w:name w:val="Heading 3 Char"/>
    <w:link w:val="Heading3"/>
    <w:rsid w:val="00267A35"/>
    <w:rPr>
      <w:rFonts w:ascii="Arial" w:eastAsia="MS Gothic" w:hAnsi="Arial"/>
      <w:b/>
      <w:sz w:val="32"/>
    </w:rPr>
  </w:style>
  <w:style w:type="character" w:customStyle="1" w:styleId="Heading4Char">
    <w:name w:val="Heading 4 Char"/>
    <w:link w:val="Heading4"/>
    <w:rsid w:val="008C1301"/>
    <w:rPr>
      <w:rFonts w:ascii="Arial" w:eastAsia="MS Gothic" w:hAnsi="Arial"/>
      <w:b/>
      <w:sz w:val="28"/>
    </w:rPr>
  </w:style>
  <w:style w:type="character" w:customStyle="1" w:styleId="Heading5Char">
    <w:name w:val="Heading 5 Char"/>
    <w:link w:val="Heading5"/>
    <w:rsid w:val="008C1301"/>
    <w:rPr>
      <w:rFonts w:ascii="Arial" w:eastAsia="MS Gothic" w:hAnsi="Arial"/>
      <w:b/>
      <w:sz w:val="28"/>
    </w:rPr>
  </w:style>
  <w:style w:type="character" w:customStyle="1" w:styleId="Heading6Char">
    <w:name w:val="Heading 6 Char"/>
    <w:link w:val="Heading6"/>
    <w:rsid w:val="008C1301"/>
    <w:rPr>
      <w:rFonts w:ascii="Arial" w:eastAsia="MS Gothic" w:hAnsi="Arial"/>
      <w:b/>
      <w:sz w:val="28"/>
    </w:rPr>
  </w:style>
  <w:style w:type="paragraph" w:styleId="ListParagraph">
    <w:name w:val="List Paragraph"/>
    <w:aliases w:val="Normal Bullets"/>
    <w:basedOn w:val="Normal"/>
    <w:uiPriority w:val="34"/>
    <w:rsid w:val="008C1301"/>
    <w:pPr>
      <w:numPr>
        <w:numId w:val="1"/>
      </w:numPr>
      <w:contextualSpacing/>
    </w:pPr>
    <w:rPr>
      <w:rFonts w:cs="Arial"/>
    </w:rPr>
  </w:style>
  <w:style w:type="paragraph" w:customStyle="1" w:styleId="NoParagraphStyle">
    <w:name w:val="[No Paragraph Style]"/>
    <w:rsid w:val="008C1301"/>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styleId="EndnoteText">
    <w:name w:val="endnote text"/>
    <w:basedOn w:val="Normal"/>
    <w:link w:val="EndnoteTextChar"/>
    <w:rsid w:val="00C24E97"/>
    <w:rPr>
      <w:lang w:eastAsia="en-US"/>
    </w:rPr>
  </w:style>
  <w:style w:type="character" w:customStyle="1" w:styleId="EndnoteTextChar">
    <w:name w:val="Endnote Text Char"/>
    <w:link w:val="EndnoteText"/>
    <w:rsid w:val="00C24E97"/>
    <w:rPr>
      <w:rFonts w:ascii="Arial" w:eastAsia="Times New Roman" w:hAnsi="Arial" w:cs="Times New Roman"/>
      <w:sz w:val="28"/>
      <w:szCs w:val="20"/>
      <w:lang w:eastAsia="en-US"/>
    </w:rPr>
  </w:style>
  <w:style w:type="paragraph" w:customStyle="1" w:styleId="Normalnogap">
    <w:name w:val="Normal no gap"/>
    <w:basedOn w:val="Normal"/>
    <w:rsid w:val="00C24E97"/>
    <w:rPr>
      <w:lang w:eastAsia="en-US"/>
    </w:rPr>
  </w:style>
  <w:style w:type="paragraph" w:styleId="ListBullet">
    <w:name w:val="List Bullet"/>
    <w:basedOn w:val="Normal"/>
    <w:qFormat/>
    <w:rsid w:val="00F60782"/>
    <w:pPr>
      <w:numPr>
        <w:numId w:val="7"/>
      </w:numPr>
      <w:tabs>
        <w:tab w:val="left" w:pos="567"/>
      </w:tabs>
    </w:pPr>
    <w:rPr>
      <w:rFonts w:cs="Arial"/>
    </w:rPr>
  </w:style>
  <w:style w:type="paragraph" w:styleId="ListNumber">
    <w:name w:val="List Number"/>
    <w:basedOn w:val="Normal"/>
    <w:qFormat/>
    <w:rsid w:val="00F60782"/>
    <w:pPr>
      <w:numPr>
        <w:numId w:val="8"/>
      </w:numPr>
      <w:tabs>
        <w:tab w:val="clear" w:pos="360"/>
        <w:tab w:val="num" w:pos="567"/>
        <w:tab w:val="left" w:pos="851"/>
      </w:tabs>
    </w:pPr>
    <w:rPr>
      <w:rFonts w:cs="Arial"/>
    </w:rPr>
  </w:style>
  <w:style w:type="paragraph" w:styleId="BodyText">
    <w:name w:val="Body Text"/>
    <w:basedOn w:val="Normal"/>
    <w:link w:val="BodyTextChar"/>
    <w:rsid w:val="00EE10B5"/>
    <w:rPr>
      <w:lang w:eastAsia="en-US"/>
    </w:rPr>
  </w:style>
  <w:style w:type="character" w:customStyle="1" w:styleId="BodyTextChar">
    <w:name w:val="Body Text Char"/>
    <w:link w:val="BodyText"/>
    <w:rsid w:val="00EE10B5"/>
    <w:rPr>
      <w:rFonts w:ascii="Arial" w:eastAsia="Times New Roman" w:hAnsi="Arial"/>
      <w:sz w:val="28"/>
      <w:lang w:eastAsia="en-US"/>
    </w:rPr>
  </w:style>
  <w:style w:type="character" w:styleId="Hyperlink">
    <w:name w:val="Hyperlink"/>
    <w:qFormat/>
    <w:rsid w:val="00087B12"/>
    <w:rPr>
      <w:rFonts w:ascii="Arial" w:hAnsi="Arial"/>
      <w:b w:val="0"/>
      <w:color w:val="0000FF"/>
      <w:sz w:val="28"/>
      <w:u w:val="single"/>
    </w:rPr>
  </w:style>
  <w:style w:type="paragraph" w:customStyle="1" w:styleId="Default">
    <w:name w:val="Default"/>
    <w:rsid w:val="00EE10B5"/>
    <w:pPr>
      <w:autoSpaceDE w:val="0"/>
      <w:autoSpaceDN w:val="0"/>
      <w:adjustRightInd w:val="0"/>
    </w:pPr>
    <w:rPr>
      <w:rFonts w:ascii="Arial" w:hAnsi="Arial" w:cs="Arial"/>
      <w:color w:val="000000"/>
      <w:sz w:val="24"/>
      <w:szCs w:val="24"/>
    </w:rPr>
  </w:style>
  <w:style w:type="character" w:styleId="Emphasis">
    <w:name w:val="Emphasis"/>
    <w:uiPriority w:val="20"/>
    <w:rsid w:val="00273A95"/>
    <w:rPr>
      <w:i/>
      <w:iCs/>
    </w:rPr>
  </w:style>
  <w:style w:type="character" w:customStyle="1" w:styleId="apple-converted-space">
    <w:name w:val="apple-converted-space"/>
    <w:rsid w:val="00273A95"/>
  </w:style>
  <w:style w:type="character" w:customStyle="1" w:styleId="st1">
    <w:name w:val="st1"/>
    <w:rsid w:val="00273A95"/>
  </w:style>
  <w:style w:type="character" w:customStyle="1" w:styleId="atsubtitle">
    <w:name w:val="atsubtitle"/>
    <w:rsid w:val="00273A95"/>
  </w:style>
  <w:style w:type="character" w:styleId="UnresolvedMention">
    <w:name w:val="Unresolved Mention"/>
    <w:uiPriority w:val="99"/>
    <w:semiHidden/>
    <w:unhideWhenUsed/>
    <w:rsid w:val="00273A95"/>
    <w:rPr>
      <w:color w:val="605E5C"/>
      <w:shd w:val="clear" w:color="auto" w:fill="E1DFDD"/>
    </w:rPr>
  </w:style>
  <w:style w:type="paragraph" w:styleId="PlainText">
    <w:name w:val="Plain Text"/>
    <w:basedOn w:val="Normal"/>
    <w:link w:val="PlainTextChar"/>
    <w:uiPriority w:val="99"/>
    <w:unhideWhenUsed/>
    <w:rsid w:val="00E07128"/>
    <w:rPr>
      <w:rFonts w:eastAsia="Calibri"/>
      <w:szCs w:val="21"/>
      <w:lang w:eastAsia="en-US"/>
    </w:rPr>
  </w:style>
  <w:style w:type="character" w:customStyle="1" w:styleId="PlainTextChar">
    <w:name w:val="Plain Text Char"/>
    <w:link w:val="PlainText"/>
    <w:uiPriority w:val="99"/>
    <w:rsid w:val="00E07128"/>
    <w:rPr>
      <w:rFonts w:ascii="Arial" w:eastAsia="Calibri" w:hAnsi="Arial"/>
      <w:sz w:val="28"/>
      <w:szCs w:val="21"/>
      <w:lang w:eastAsia="en-US"/>
    </w:rPr>
  </w:style>
  <w:style w:type="character" w:styleId="FollowedHyperlink">
    <w:name w:val="FollowedHyperlink"/>
    <w:uiPriority w:val="99"/>
    <w:semiHidden/>
    <w:unhideWhenUsed/>
    <w:rsid w:val="00FE0D81"/>
    <w:rPr>
      <w:color w:val="954F72"/>
      <w:u w:val="single"/>
    </w:rPr>
  </w:style>
  <w:style w:type="character" w:styleId="CommentReference">
    <w:name w:val="annotation reference"/>
    <w:uiPriority w:val="99"/>
    <w:semiHidden/>
    <w:unhideWhenUsed/>
    <w:rsid w:val="003C16D9"/>
    <w:rPr>
      <w:sz w:val="16"/>
      <w:szCs w:val="16"/>
    </w:rPr>
  </w:style>
  <w:style w:type="paragraph" w:styleId="CommentText">
    <w:name w:val="annotation text"/>
    <w:basedOn w:val="Normal"/>
    <w:link w:val="CommentTextChar"/>
    <w:uiPriority w:val="99"/>
    <w:semiHidden/>
    <w:unhideWhenUsed/>
    <w:rsid w:val="003C16D9"/>
    <w:rPr>
      <w:sz w:val="20"/>
    </w:rPr>
  </w:style>
  <w:style w:type="character" w:customStyle="1" w:styleId="CommentTextChar">
    <w:name w:val="Comment Text Char"/>
    <w:link w:val="CommentText"/>
    <w:uiPriority w:val="99"/>
    <w:semiHidden/>
    <w:rsid w:val="003C16D9"/>
    <w:rPr>
      <w:rFonts w:ascii="Arial" w:hAnsi="Arial"/>
      <w:lang w:eastAsia="ja-JP"/>
    </w:rPr>
  </w:style>
  <w:style w:type="paragraph" w:styleId="CommentSubject">
    <w:name w:val="annotation subject"/>
    <w:basedOn w:val="CommentText"/>
    <w:next w:val="CommentText"/>
    <w:link w:val="CommentSubjectChar"/>
    <w:uiPriority w:val="99"/>
    <w:semiHidden/>
    <w:unhideWhenUsed/>
    <w:rsid w:val="003C16D9"/>
    <w:rPr>
      <w:b/>
      <w:bCs/>
    </w:rPr>
  </w:style>
  <w:style w:type="character" w:customStyle="1" w:styleId="CommentSubjectChar">
    <w:name w:val="Comment Subject Char"/>
    <w:link w:val="CommentSubject"/>
    <w:uiPriority w:val="99"/>
    <w:semiHidden/>
    <w:rsid w:val="003C16D9"/>
    <w:rPr>
      <w:rFonts w:ascii="Arial" w:hAnsi="Arial"/>
      <w:b/>
      <w:bCs/>
      <w:lang w:eastAsia="ja-JP"/>
    </w:rPr>
  </w:style>
  <w:style w:type="paragraph" w:styleId="Quote">
    <w:name w:val="Quote"/>
    <w:basedOn w:val="Normal"/>
    <w:link w:val="QuoteChar"/>
    <w:qFormat/>
    <w:rsid w:val="00F60782"/>
    <w:pPr>
      <w:ind w:left="340" w:right="567"/>
    </w:pPr>
  </w:style>
  <w:style w:type="character" w:customStyle="1" w:styleId="QuoteChar">
    <w:name w:val="Quote Char"/>
    <w:link w:val="Quote"/>
    <w:rsid w:val="00F60782"/>
    <w:rPr>
      <w:rFonts w:ascii="Arial" w:hAnsi="Arial"/>
      <w:sz w:val="28"/>
    </w:rPr>
  </w:style>
  <w:style w:type="character" w:styleId="EndnoteReference">
    <w:name w:val="endnote reference"/>
    <w:uiPriority w:val="99"/>
    <w:semiHidden/>
    <w:unhideWhenUsed/>
    <w:rsid w:val="00FE18E6"/>
    <w:rPr>
      <w:vertAlign w:val="superscript"/>
    </w:rPr>
  </w:style>
  <w:style w:type="character" w:styleId="Strong">
    <w:name w:val="Strong"/>
    <w:rsid w:val="00533B7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65675">
      <w:bodyDiv w:val="1"/>
      <w:marLeft w:val="0"/>
      <w:marRight w:val="0"/>
      <w:marTop w:val="0"/>
      <w:marBottom w:val="0"/>
      <w:divBdr>
        <w:top w:val="none" w:sz="0" w:space="0" w:color="auto"/>
        <w:left w:val="none" w:sz="0" w:space="0" w:color="auto"/>
        <w:bottom w:val="none" w:sz="0" w:space="0" w:color="auto"/>
        <w:right w:val="none" w:sz="0" w:space="0" w:color="auto"/>
      </w:divBdr>
      <w:divsChild>
        <w:div w:id="2079207580">
          <w:marLeft w:val="0"/>
          <w:marRight w:val="0"/>
          <w:marTop w:val="0"/>
          <w:marBottom w:val="0"/>
          <w:divBdr>
            <w:top w:val="none" w:sz="0" w:space="0" w:color="auto"/>
            <w:left w:val="none" w:sz="0" w:space="0" w:color="auto"/>
            <w:bottom w:val="none" w:sz="0" w:space="0" w:color="auto"/>
            <w:right w:val="none" w:sz="0" w:space="0" w:color="auto"/>
          </w:divBdr>
        </w:div>
        <w:div w:id="1434091482">
          <w:marLeft w:val="0"/>
          <w:marRight w:val="0"/>
          <w:marTop w:val="0"/>
          <w:marBottom w:val="0"/>
          <w:divBdr>
            <w:top w:val="none" w:sz="0" w:space="0" w:color="auto"/>
            <w:left w:val="none" w:sz="0" w:space="0" w:color="auto"/>
            <w:bottom w:val="none" w:sz="0" w:space="0" w:color="auto"/>
            <w:right w:val="none" w:sz="0" w:space="0" w:color="auto"/>
          </w:divBdr>
        </w:div>
        <w:div w:id="249001285">
          <w:marLeft w:val="0"/>
          <w:marRight w:val="0"/>
          <w:marTop w:val="0"/>
          <w:marBottom w:val="0"/>
          <w:divBdr>
            <w:top w:val="none" w:sz="0" w:space="0" w:color="auto"/>
            <w:left w:val="none" w:sz="0" w:space="0" w:color="auto"/>
            <w:bottom w:val="none" w:sz="0" w:space="0" w:color="auto"/>
            <w:right w:val="none" w:sz="0" w:space="0" w:color="auto"/>
          </w:divBdr>
        </w:div>
        <w:div w:id="2170602">
          <w:marLeft w:val="0"/>
          <w:marRight w:val="0"/>
          <w:marTop w:val="0"/>
          <w:marBottom w:val="0"/>
          <w:divBdr>
            <w:top w:val="none" w:sz="0" w:space="0" w:color="auto"/>
            <w:left w:val="none" w:sz="0" w:space="0" w:color="auto"/>
            <w:bottom w:val="none" w:sz="0" w:space="0" w:color="auto"/>
            <w:right w:val="none" w:sz="0" w:space="0" w:color="auto"/>
          </w:divBdr>
        </w:div>
        <w:div w:id="2343150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ncap.org.uk/" TargetMode="External"/><Relationship Id="rId18" Type="http://schemas.openxmlformats.org/officeDocument/2006/relationships/hyperlink" Target="http://www.communicationmatters.org.uk/page/communication-passpor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eability.org/" TargetMode="External"/><Relationship Id="rId17" Type="http://schemas.openxmlformats.org/officeDocument/2006/relationships/hyperlink" Target="https://www.rnib.org.uk/knowledge-and-research-hub/research-reports/prevention-sight-loss/prevalence-VI-learning-disabil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lderpeopleandcomplexneeds@rnib.org.uk" TargetMode="External"/><Relationship Id="rId20" Type="http://schemas.openxmlformats.org/officeDocument/2006/relationships/hyperlink" Target="http://www.legislation.gov.uk/asp/2000/4/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professionals-social-care-professionals-complex-needs-social-care/learning-disabilit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hotosymbols.com/pages/easy-rea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uk/ukpga/2005/9/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sy-read-online.co.uk/about-easy-rea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BCC1809C21D246A0F8ED2F96F4506F" ma:contentTypeVersion="13" ma:contentTypeDescription="Create a new document." ma:contentTypeScope="" ma:versionID="07ff3d4b47e960312ce3517d9b81e5f9">
  <xsd:schema xmlns:xsd="http://www.w3.org/2001/XMLSchema" xmlns:xs="http://www.w3.org/2001/XMLSchema" xmlns:p="http://schemas.microsoft.com/office/2006/metadata/properties" xmlns:ns2="7f6fef81-4f87-442b-83dd-a2c940790ca7" xmlns:ns3="319dda76-db30-44df-8fc8-2b186ac8dbc3" targetNamespace="http://schemas.microsoft.com/office/2006/metadata/properties" ma:root="true" ma:fieldsID="427ac401d46eccfe730ddc32ef3e9dfa" ns2:_="" ns3:_="">
    <xsd:import namespace="7f6fef81-4f87-442b-83dd-a2c940790ca7"/>
    <xsd:import namespace="319dda76-db30-44df-8fc8-2b186ac8db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fef81-4f87-442b-83dd-a2c94079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9dda76-db30-44df-8fc8-2b186ac8db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62D62-AA5C-4669-9349-33C7B19A8C5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f6fef81-4f87-442b-83dd-a2c940790ca7"/>
    <ds:schemaRef ds:uri="http://purl.org/dc/terms/"/>
    <ds:schemaRef ds:uri="http://schemas.openxmlformats.org/package/2006/metadata/core-properties"/>
    <ds:schemaRef ds:uri="319dda76-db30-44df-8fc8-2b186ac8dbc3"/>
    <ds:schemaRef ds:uri="http://www.w3.org/XML/1998/namespace"/>
    <ds:schemaRef ds:uri="http://purl.org/dc/dcmitype/"/>
  </ds:schemaRefs>
</ds:datastoreItem>
</file>

<file path=customXml/itemProps2.xml><?xml version="1.0" encoding="utf-8"?>
<ds:datastoreItem xmlns:ds="http://schemas.openxmlformats.org/officeDocument/2006/customXml" ds:itemID="{30B7853E-1295-469B-B145-8F8C0DFF2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fef81-4f87-442b-83dd-a2c940790ca7"/>
    <ds:schemaRef ds:uri="319dda76-db30-44df-8fc8-2b186ac8d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A4D55-18EB-4990-AB15-2BBDD28F583B}">
  <ds:schemaRefs>
    <ds:schemaRef ds:uri="http://schemas.openxmlformats.org/officeDocument/2006/bibliography"/>
  </ds:schemaRefs>
</ds:datastoreItem>
</file>

<file path=customXml/itemProps4.xml><?xml version="1.0" encoding="utf-8"?>
<ds:datastoreItem xmlns:ds="http://schemas.openxmlformats.org/officeDocument/2006/customXml" ds:itemID="{D93BBA49-A734-4EB4-8E17-16FAF9EC1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10529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RNIB A4 fact sheet</vt:lpstr>
    </vt:vector>
  </TitlesOfParts>
  <Company>Northern Devon Healthcare Trust</Company>
  <LinksUpToDate>false</LinksUpToDate>
  <CharactersWithSpaces>12352</CharactersWithSpaces>
  <SharedDoc>false</SharedDoc>
  <HLinks>
    <vt:vector size="174" baseType="variant">
      <vt:variant>
        <vt:i4>655433</vt:i4>
      </vt:variant>
      <vt:variant>
        <vt:i4>84</vt:i4>
      </vt:variant>
      <vt:variant>
        <vt:i4>0</vt:i4>
      </vt:variant>
      <vt:variant>
        <vt:i4>5</vt:i4>
      </vt:variant>
      <vt:variant>
        <vt:lpwstr>http://www.legislation.gov.uk/asp/2000/4/contents</vt:lpwstr>
      </vt:variant>
      <vt:variant>
        <vt:lpwstr/>
      </vt:variant>
      <vt:variant>
        <vt:i4>8192060</vt:i4>
      </vt:variant>
      <vt:variant>
        <vt:i4>81</vt:i4>
      </vt:variant>
      <vt:variant>
        <vt:i4>0</vt:i4>
      </vt:variant>
      <vt:variant>
        <vt:i4>5</vt:i4>
      </vt:variant>
      <vt:variant>
        <vt:lpwstr>http://www.legislation.gov.uk/ukpga/2005/9/contents</vt:lpwstr>
      </vt:variant>
      <vt:variant>
        <vt:lpwstr/>
      </vt:variant>
      <vt:variant>
        <vt:i4>4849681</vt:i4>
      </vt:variant>
      <vt:variant>
        <vt:i4>78</vt:i4>
      </vt:variant>
      <vt:variant>
        <vt:i4>0</vt:i4>
      </vt:variant>
      <vt:variant>
        <vt:i4>5</vt:i4>
      </vt:variant>
      <vt:variant>
        <vt:lpwstr>http://www.alzheimers.org.uk/thisisme</vt:lpwstr>
      </vt:variant>
      <vt:variant>
        <vt:lpwstr/>
      </vt:variant>
      <vt:variant>
        <vt:i4>6291490</vt:i4>
      </vt:variant>
      <vt:variant>
        <vt:i4>75</vt:i4>
      </vt:variant>
      <vt:variant>
        <vt:i4>0</vt:i4>
      </vt:variant>
      <vt:variant>
        <vt:i4>5</vt:i4>
      </vt:variant>
      <vt:variant>
        <vt:lpwstr>http://www.mwcscot.org.uk/</vt:lpwstr>
      </vt:variant>
      <vt:variant>
        <vt:lpwstr/>
      </vt:variant>
      <vt:variant>
        <vt:i4>5242888</vt:i4>
      </vt:variant>
      <vt:variant>
        <vt:i4>72</vt:i4>
      </vt:variant>
      <vt:variant>
        <vt:i4>0</vt:i4>
      </vt:variant>
      <vt:variant>
        <vt:i4>5</vt:i4>
      </vt:variant>
      <vt:variant>
        <vt:lpwstr>http://www.nes.scot.nhs.uk/media/1557644/capacity_and_consent-interactive.pdf</vt:lpwstr>
      </vt:variant>
      <vt:variant>
        <vt:lpwstr/>
      </vt:variant>
      <vt:variant>
        <vt:i4>1179661</vt:i4>
      </vt:variant>
      <vt:variant>
        <vt:i4>69</vt:i4>
      </vt:variant>
      <vt:variant>
        <vt:i4>0</vt:i4>
      </vt:variant>
      <vt:variant>
        <vt:i4>5</vt:i4>
      </vt:variant>
      <vt:variant>
        <vt:lpwstr>http://www.knowledge.scot.nhs.uk/media/CLT/ResourceUploads/4040342/Getting to know me%5b1%5d.pdf</vt:lpwstr>
      </vt:variant>
      <vt:variant>
        <vt:lpwstr/>
      </vt:variant>
      <vt:variant>
        <vt:i4>2031656</vt:i4>
      </vt:variant>
      <vt:variant>
        <vt:i4>66</vt:i4>
      </vt:variant>
      <vt:variant>
        <vt:i4>0</vt:i4>
      </vt:variant>
      <vt:variant>
        <vt:i4>5</vt:i4>
      </vt:variant>
      <vt:variant>
        <vt:lpwstr>http://www.alzheimers.org.uk/site/scripts/documents_info.php?documentID=103</vt:lpwstr>
      </vt:variant>
      <vt:variant>
        <vt:lpwstr/>
      </vt:variant>
      <vt:variant>
        <vt:i4>4063273</vt:i4>
      </vt:variant>
      <vt:variant>
        <vt:i4>63</vt:i4>
      </vt:variant>
      <vt:variant>
        <vt:i4>0</vt:i4>
      </vt:variant>
      <vt:variant>
        <vt:i4>5</vt:i4>
      </vt:variant>
      <vt:variant>
        <vt:lpwstr>https://www.ucl.ac.uk/research/domains/node/255/nick-firth-amazon-echo.pptx</vt:lpwstr>
      </vt:variant>
      <vt:variant>
        <vt:lpwstr/>
      </vt:variant>
      <vt:variant>
        <vt:i4>2097266</vt:i4>
      </vt:variant>
      <vt:variant>
        <vt:i4>60</vt:i4>
      </vt:variant>
      <vt:variant>
        <vt:i4>0</vt:i4>
      </vt:variant>
      <vt:variant>
        <vt:i4>5</vt:i4>
      </vt:variant>
      <vt:variant>
        <vt:lpwstr>http://tinyurl.com/h8l7qxs</vt:lpwstr>
      </vt:variant>
      <vt:variant>
        <vt:lpwstr/>
      </vt:variant>
      <vt:variant>
        <vt:i4>3014755</vt:i4>
      </vt:variant>
      <vt:variant>
        <vt:i4>57</vt:i4>
      </vt:variant>
      <vt:variant>
        <vt:i4>0</vt:i4>
      </vt:variant>
      <vt:variant>
        <vt:i4>5</vt:i4>
      </vt:variant>
      <vt:variant>
        <vt:lpwstr>http://tinyurl.com/ha5s7tb</vt:lpwstr>
      </vt:variant>
      <vt:variant>
        <vt:lpwstr/>
      </vt:variant>
      <vt:variant>
        <vt:i4>458846</vt:i4>
      </vt:variant>
      <vt:variant>
        <vt:i4>54</vt:i4>
      </vt:variant>
      <vt:variant>
        <vt:i4>0</vt:i4>
      </vt:variant>
      <vt:variant>
        <vt:i4>5</vt:i4>
      </vt:variant>
      <vt:variant>
        <vt:lpwstr>https://www.visionuk.org.uk/standing-committees/dementia-and-sight-loss-interest-group/blog/wearing-spectacles-dementia-vision-2020-uk-dementia-sight-loss-committee/</vt:lpwstr>
      </vt:variant>
      <vt:variant>
        <vt:lpwstr/>
      </vt:variant>
      <vt:variant>
        <vt:i4>6225999</vt:i4>
      </vt:variant>
      <vt:variant>
        <vt:i4>51</vt:i4>
      </vt:variant>
      <vt:variant>
        <vt:i4>0</vt:i4>
      </vt:variant>
      <vt:variant>
        <vt:i4>5</vt:i4>
      </vt:variant>
      <vt:variant>
        <vt:lpwstr>https://www.visionuk.org.uk/standing-committees/dementia-and-sight-loss-interest-group/blog/dementia-and-sight-loss-frequently-asked-questions-4/</vt:lpwstr>
      </vt:variant>
      <vt:variant>
        <vt:lpwstr/>
      </vt:variant>
      <vt:variant>
        <vt:i4>2490495</vt:i4>
      </vt:variant>
      <vt:variant>
        <vt:i4>48</vt:i4>
      </vt:variant>
      <vt:variant>
        <vt:i4>0</vt:i4>
      </vt:variant>
      <vt:variant>
        <vt:i4>5</vt:i4>
      </vt:variant>
      <vt:variant>
        <vt:lpwstr>http://tinyurl.com/jj4c5sk</vt:lpwstr>
      </vt:variant>
      <vt:variant>
        <vt:lpwstr/>
      </vt:variant>
      <vt:variant>
        <vt:i4>3801199</vt:i4>
      </vt:variant>
      <vt:variant>
        <vt:i4>45</vt:i4>
      </vt:variant>
      <vt:variant>
        <vt:i4>0</vt:i4>
      </vt:variant>
      <vt:variant>
        <vt:i4>5</vt:i4>
      </vt:variant>
      <vt:variant>
        <vt:lpwstr>https://www.dementiacircle.org/</vt:lpwstr>
      </vt:variant>
      <vt:variant>
        <vt:lpwstr/>
      </vt:variant>
      <vt:variant>
        <vt:i4>2687079</vt:i4>
      </vt:variant>
      <vt:variant>
        <vt:i4>42</vt:i4>
      </vt:variant>
      <vt:variant>
        <vt:i4>0</vt:i4>
      </vt:variant>
      <vt:variant>
        <vt:i4>5</vt:i4>
      </vt:variant>
      <vt:variant>
        <vt:lpwstr>http://www.dementia.stir.ac.uk/</vt:lpwstr>
      </vt:variant>
      <vt:variant>
        <vt:lpwstr/>
      </vt:variant>
      <vt:variant>
        <vt:i4>2097193</vt:i4>
      </vt:variant>
      <vt:variant>
        <vt:i4>39</vt:i4>
      </vt:variant>
      <vt:variant>
        <vt:i4>0</vt:i4>
      </vt:variant>
      <vt:variant>
        <vt:i4>5</vt:i4>
      </vt:variant>
      <vt:variant>
        <vt:lpwstr>http://tinyurl.com/z9lyjlz</vt:lpwstr>
      </vt:variant>
      <vt:variant>
        <vt:lpwstr/>
      </vt:variant>
      <vt:variant>
        <vt:i4>4063352</vt:i4>
      </vt:variant>
      <vt:variant>
        <vt:i4>36</vt:i4>
      </vt:variant>
      <vt:variant>
        <vt:i4>0</vt:i4>
      </vt:variant>
      <vt:variant>
        <vt:i4>5</vt:i4>
      </vt:variant>
      <vt:variant>
        <vt:lpwstr>http://tinyurl.com/jelndvz</vt:lpwstr>
      </vt:variant>
      <vt:variant>
        <vt:lpwstr/>
      </vt:variant>
      <vt:variant>
        <vt:i4>8060982</vt:i4>
      </vt:variant>
      <vt:variant>
        <vt:i4>33</vt:i4>
      </vt:variant>
      <vt:variant>
        <vt:i4>0</vt:i4>
      </vt:variant>
      <vt:variant>
        <vt:i4>5</vt:i4>
      </vt:variant>
      <vt:variant>
        <vt:lpwstr>https://www.atdementia.org.uk/</vt:lpwstr>
      </vt:variant>
      <vt:variant>
        <vt:lpwstr/>
      </vt:variant>
      <vt:variant>
        <vt:i4>4128815</vt:i4>
      </vt:variant>
      <vt:variant>
        <vt:i4>30</vt:i4>
      </vt:variant>
      <vt:variant>
        <vt:i4>0</vt:i4>
      </vt:variant>
      <vt:variant>
        <vt:i4>5</vt:i4>
      </vt:variant>
      <vt:variant>
        <vt:lpwstr>http://tinyurl.com/hpbnc4p</vt:lpwstr>
      </vt:variant>
      <vt:variant>
        <vt:lpwstr/>
      </vt:variant>
      <vt:variant>
        <vt:i4>6619262</vt:i4>
      </vt:variant>
      <vt:variant>
        <vt:i4>27</vt:i4>
      </vt:variant>
      <vt:variant>
        <vt:i4>0</vt:i4>
      </vt:variant>
      <vt:variant>
        <vt:i4>5</vt:i4>
      </vt:variant>
      <vt:variant>
        <vt:lpwstr>http://tinyurl.com/h3ypg85</vt:lpwstr>
      </vt:variant>
      <vt:variant>
        <vt:lpwstr/>
      </vt:variant>
      <vt:variant>
        <vt:i4>2621483</vt:i4>
      </vt:variant>
      <vt:variant>
        <vt:i4>24</vt:i4>
      </vt:variant>
      <vt:variant>
        <vt:i4>0</vt:i4>
      </vt:variant>
      <vt:variant>
        <vt:i4>5</vt:i4>
      </vt:variant>
      <vt:variant>
        <vt:lpwstr>http://www.scie.org.uk/</vt:lpwstr>
      </vt:variant>
      <vt:variant>
        <vt:lpwstr/>
      </vt:variant>
      <vt:variant>
        <vt:i4>1179671</vt:i4>
      </vt:variant>
      <vt:variant>
        <vt:i4>21</vt:i4>
      </vt:variant>
      <vt:variant>
        <vt:i4>0</vt:i4>
      </vt:variant>
      <vt:variant>
        <vt:i4>5</vt:i4>
      </vt:variant>
      <vt:variant>
        <vt:lpwstr>https://www.visionuk.org.uk/profile-management/register/</vt:lpwstr>
      </vt:variant>
      <vt:variant>
        <vt:lpwstr/>
      </vt:variant>
      <vt:variant>
        <vt:i4>3080316</vt:i4>
      </vt:variant>
      <vt:variant>
        <vt:i4>18</vt:i4>
      </vt:variant>
      <vt:variant>
        <vt:i4>0</vt:i4>
      </vt:variant>
      <vt:variant>
        <vt:i4>5</vt:i4>
      </vt:variant>
      <vt:variant>
        <vt:lpwstr>http://www.alzscot.org/</vt:lpwstr>
      </vt:variant>
      <vt:variant>
        <vt:lpwstr/>
      </vt:variant>
      <vt:variant>
        <vt:i4>1310793</vt:i4>
      </vt:variant>
      <vt:variant>
        <vt:i4>15</vt:i4>
      </vt:variant>
      <vt:variant>
        <vt:i4>0</vt:i4>
      </vt:variant>
      <vt:variant>
        <vt:i4>5</vt:i4>
      </vt:variant>
      <vt:variant>
        <vt:lpwstr>https://www.alzheimers.org.uk/get-involved/dementia-friendly-communities/organisations-technology</vt:lpwstr>
      </vt:variant>
      <vt:variant>
        <vt:lpwstr/>
      </vt:variant>
      <vt:variant>
        <vt:i4>5439574</vt:i4>
      </vt:variant>
      <vt:variant>
        <vt:i4>12</vt:i4>
      </vt:variant>
      <vt:variant>
        <vt:i4>0</vt:i4>
      </vt:variant>
      <vt:variant>
        <vt:i4>5</vt:i4>
      </vt:variant>
      <vt:variant>
        <vt:lpwstr>http://www.alzheimers.org.uk/</vt:lpwstr>
      </vt:variant>
      <vt:variant>
        <vt:lpwstr/>
      </vt:variant>
      <vt:variant>
        <vt:i4>4390942</vt:i4>
      </vt:variant>
      <vt:variant>
        <vt:i4>9</vt:i4>
      </vt:variant>
      <vt:variant>
        <vt:i4>0</vt:i4>
      </vt:variant>
      <vt:variant>
        <vt:i4>5</vt:i4>
      </vt:variant>
      <vt:variant>
        <vt:lpwstr>https://www.wwl.nhs.uk/Library/General_Docs/dementia/Dementia_Friendly_Technology_Charter.pdf</vt:lpwstr>
      </vt:variant>
      <vt:variant>
        <vt:lpwstr/>
      </vt:variant>
      <vt:variant>
        <vt:i4>6684720</vt:i4>
      </vt:variant>
      <vt:variant>
        <vt:i4>6</vt:i4>
      </vt:variant>
      <vt:variant>
        <vt:i4>0</vt:i4>
      </vt:variant>
      <vt:variant>
        <vt:i4>5</vt:i4>
      </vt:variant>
      <vt:variant>
        <vt:lpwstr>https://www.rnib.org.uk/information-everyday-living-benefits-and-concessions/grants</vt:lpwstr>
      </vt:variant>
      <vt:variant>
        <vt:lpwstr/>
      </vt:variant>
      <vt:variant>
        <vt:i4>1572951</vt:i4>
      </vt:variant>
      <vt:variant>
        <vt:i4>3</vt:i4>
      </vt:variant>
      <vt:variant>
        <vt:i4>0</vt:i4>
      </vt:variant>
      <vt:variant>
        <vt:i4>5</vt:i4>
      </vt:variant>
      <vt:variant>
        <vt:lpwstr>https://tinyurl.com/PosteriorCorticalAtrophy</vt:lpwstr>
      </vt:variant>
      <vt:variant>
        <vt:lpwstr/>
      </vt:variant>
      <vt:variant>
        <vt:i4>262232</vt:i4>
      </vt:variant>
      <vt:variant>
        <vt:i4>0</vt:i4>
      </vt:variant>
      <vt:variant>
        <vt:i4>0</vt:i4>
      </vt:variant>
      <vt:variant>
        <vt:i4>5</vt:i4>
      </vt:variant>
      <vt:variant>
        <vt:lpwstr>https://tinyurl.com/RNIBDementia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RNIB A4 fact sheet</dc:title>
  <dc:subject/>
  <dc:creator>Arabella McGinness</dc:creator>
  <cp:keywords>connect poster; connect; posters; poster template</cp:keywords>
  <cp:lastModifiedBy>Tara</cp:lastModifiedBy>
  <cp:revision>2</cp:revision>
  <cp:lastPrinted>2016-02-24T14:29:00Z</cp:lastPrinted>
  <dcterms:created xsi:type="dcterms:W3CDTF">2021-07-22T10:07:00Z</dcterms:created>
  <dcterms:modified xsi:type="dcterms:W3CDTF">2021-07-22T10:07:00Z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0x0101005DBCC1809C21D246A0F8ED2F96F4506F</vt:lpwstr>
  </property>
  <property fmtid="{D5CDD505-2E9C-101B-9397-08002B2CF9AE}" pid="3" name="Audience">
    <vt:lpwstr>All staff</vt:lpwstr>
  </property>
  <property fmtid="{D5CDD505-2E9C-101B-9397-08002B2CF9AE}" pid="4" name="Purpose">
    <vt:lpwstr>Use this when you're making an A4 fact sheet for RNIB</vt:lpwstr>
  </property>
  <property fmtid="{D5CDD505-2E9C-101B-9397-08002B2CF9AE}" pid="5" name="Audience ">
    <vt:lpwstr>All staff</vt:lpwstr>
  </property>
  <property fmtid="{D5CDD505-2E9C-101B-9397-08002B2CF9AE}" pid="6" name="Document type">
    <vt:lpwstr>Templates</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SharedWithUsers">
    <vt:lpwstr>1158;#Jane Harrison;#54;#Andy Hollingsworth;#2741;#Ffion Lewis</vt:lpwstr>
  </property>
</Properties>
</file>