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90F" w14:textId="62747E87" w:rsidR="003607B8" w:rsidRPr="00561016" w:rsidRDefault="003607B8" w:rsidP="003607B8">
      <w:pPr>
        <w:pStyle w:val="Heading1"/>
        <w:rPr>
          <w:rStyle w:val="EndnoteReference"/>
          <w:sz w:val="48"/>
        </w:rPr>
      </w:pPr>
      <w:bookmarkStart w:id="0" w:name="_Toc95934122"/>
      <w:bookmarkStart w:id="1" w:name="_Toc95934396"/>
      <w:bookmarkStart w:id="2" w:name="_Toc96000247"/>
      <w:bookmarkStart w:id="3" w:name="_Toc96348927"/>
      <w:bookmarkStart w:id="4" w:name="_Toc96614010"/>
      <w:bookmarkStart w:id="5" w:name="_Toc101867117"/>
      <w:bookmarkStart w:id="6" w:name="_Toc101872969"/>
      <w:bookmarkStart w:id="7" w:name="_Toc101878827"/>
      <w:bookmarkStart w:id="8" w:name="_Toc102052139"/>
      <w:bookmarkStart w:id="9" w:name="_Toc103246211"/>
      <w:bookmarkStart w:id="10" w:name="_Toc103952168"/>
      <w:r w:rsidRPr="00561016">
        <w:rPr>
          <w:rStyle w:val="EndnoteReference"/>
          <w:sz w:val="48"/>
        </w:rPr>
        <w:t>Education provision for children and young people with vision impairment in</w:t>
      </w:r>
      <w:r>
        <w:t xml:space="preserve"> Scotland</w:t>
      </w:r>
      <w:r w:rsidRPr="00561016">
        <w:rPr>
          <w:rStyle w:val="EndnoteReference"/>
          <w:sz w:val="48"/>
        </w:rPr>
        <w:t>, 20</w:t>
      </w:r>
      <w:r w:rsidR="00DA0893">
        <w:rPr>
          <w:sz w:val="48"/>
        </w:rPr>
        <w:t>2</w:t>
      </w:r>
      <w:r w:rsidRPr="00561016">
        <w:rPr>
          <w:rStyle w:val="EndnoteReference"/>
          <w:sz w:val="48"/>
        </w:rPr>
        <w:t>2</w:t>
      </w:r>
      <w:bookmarkEnd w:id="0"/>
      <w:bookmarkEnd w:id="1"/>
      <w:bookmarkEnd w:id="2"/>
      <w:bookmarkEnd w:id="3"/>
      <w:bookmarkEnd w:id="4"/>
      <w:bookmarkEnd w:id="5"/>
      <w:bookmarkEnd w:id="6"/>
      <w:bookmarkEnd w:id="7"/>
      <w:bookmarkEnd w:id="8"/>
      <w:bookmarkEnd w:id="9"/>
      <w:bookmarkEnd w:id="10"/>
    </w:p>
    <w:p w14:paraId="0F7E7468" w14:textId="77777777" w:rsidR="003607B8" w:rsidRDefault="003607B8" w:rsidP="003607B8"/>
    <w:p w14:paraId="014476DA" w14:textId="189E2459" w:rsidR="003607B8" w:rsidRDefault="0090564A" w:rsidP="003607B8">
      <w:r>
        <w:t>May</w:t>
      </w:r>
      <w:r w:rsidR="003607B8">
        <w:t xml:space="preserve"> 2022</w:t>
      </w:r>
    </w:p>
    <w:p w14:paraId="3A903E18" w14:textId="77777777" w:rsidR="003607B8" w:rsidRDefault="003607B8" w:rsidP="003607B8"/>
    <w:p w14:paraId="4AAB01B3" w14:textId="77777777" w:rsidR="003607B8" w:rsidRDefault="003607B8" w:rsidP="003607B8">
      <w:r>
        <w:t>Author: Jaspreet Bhangoo</w:t>
      </w:r>
    </w:p>
    <w:p w14:paraId="1D6D134F" w14:textId="338AEF4C" w:rsidR="003607B8" w:rsidRDefault="003607B8" w:rsidP="003607B8">
      <w:r>
        <w:t xml:space="preserve">With contributions from: </w:t>
      </w:r>
      <w:r w:rsidR="007445D1">
        <w:t>James Adams, Catriona Burness, Rosaleen Dempsey,</w:t>
      </w:r>
      <w:r w:rsidR="00547EC6" w:rsidRPr="00547EC6">
        <w:t xml:space="preserve"> </w:t>
      </w:r>
      <w:r w:rsidR="00547EC6">
        <w:t>Caireen Sutherland,</w:t>
      </w:r>
      <w:r w:rsidR="007445D1">
        <w:t xml:space="preserve"> Emma Edwards</w:t>
      </w:r>
    </w:p>
    <w:p w14:paraId="7C8A8B06" w14:textId="77777777" w:rsidR="003607B8" w:rsidRDefault="003607B8" w:rsidP="003607B8"/>
    <w:p w14:paraId="6A045066" w14:textId="77777777" w:rsidR="003607B8" w:rsidRDefault="003607B8" w:rsidP="003607B8"/>
    <w:p w14:paraId="008992A3" w14:textId="77777777" w:rsidR="0076073A" w:rsidRDefault="003607B8" w:rsidP="003607B8">
      <w:pPr>
        <w:pStyle w:val="Heading2"/>
        <w:rPr>
          <w:noProof/>
        </w:rPr>
      </w:pPr>
      <w:bookmarkStart w:id="11" w:name="_Toc95934123"/>
      <w:bookmarkStart w:id="12" w:name="_Toc95934397"/>
      <w:bookmarkStart w:id="13" w:name="_Toc96000248"/>
      <w:bookmarkStart w:id="14" w:name="_Toc96348928"/>
      <w:bookmarkStart w:id="15" w:name="_Toc96614011"/>
      <w:bookmarkStart w:id="16" w:name="_Toc101878828"/>
      <w:bookmarkStart w:id="17" w:name="_Toc102052140"/>
      <w:bookmarkStart w:id="18" w:name="_Toc103246212"/>
      <w:bookmarkStart w:id="19" w:name="_Toc103952169"/>
      <w:r>
        <w:t>Contents</w:t>
      </w:r>
      <w:bookmarkEnd w:id="11"/>
      <w:bookmarkEnd w:id="12"/>
      <w:bookmarkEnd w:id="13"/>
      <w:bookmarkEnd w:id="14"/>
      <w:bookmarkEnd w:id="15"/>
      <w:bookmarkEnd w:id="16"/>
      <w:bookmarkEnd w:id="17"/>
      <w:bookmarkEnd w:id="18"/>
      <w:bookmarkEnd w:id="19"/>
      <w:r w:rsidRPr="00E2248C">
        <w:rPr>
          <w:kern w:val="32"/>
        </w:rPr>
        <w:fldChar w:fldCharType="begin"/>
      </w:r>
      <w:r w:rsidRPr="00E2248C">
        <w:instrText xml:space="preserve"> TOC \o "1-2" \h \z \u </w:instrText>
      </w:r>
      <w:r w:rsidRPr="00E2248C">
        <w:rPr>
          <w:kern w:val="32"/>
        </w:rPr>
        <w:fldChar w:fldCharType="separate"/>
      </w:r>
    </w:p>
    <w:p w14:paraId="62AA3315" w14:textId="15290657" w:rsidR="0076073A" w:rsidRPr="00746C22" w:rsidRDefault="008B5A06">
      <w:pPr>
        <w:pStyle w:val="TOC1"/>
        <w:rPr>
          <w:rFonts w:asciiTheme="minorHAnsi" w:eastAsiaTheme="minorEastAsia" w:hAnsiTheme="minorHAnsi" w:cstheme="minorBidi"/>
          <w:b/>
          <w:bCs/>
          <w:noProof/>
          <w:sz w:val="22"/>
          <w:szCs w:val="22"/>
          <w:lang w:eastAsia="en-GB"/>
        </w:rPr>
      </w:pPr>
      <w:hyperlink w:anchor="_Toc103952170" w:history="1">
        <w:r w:rsidR="0076073A" w:rsidRPr="00D25981">
          <w:rPr>
            <w:rStyle w:val="Hyperlink"/>
            <w:noProof/>
          </w:rPr>
          <w:t>i. Glossary</w:t>
        </w:r>
        <w:r w:rsidR="0076073A">
          <w:rPr>
            <w:noProof/>
            <w:webHidden/>
          </w:rPr>
          <w:tab/>
        </w:r>
        <w:r w:rsidR="0076073A">
          <w:rPr>
            <w:noProof/>
            <w:webHidden/>
          </w:rPr>
          <w:fldChar w:fldCharType="begin"/>
        </w:r>
        <w:r w:rsidR="0076073A">
          <w:rPr>
            <w:noProof/>
            <w:webHidden/>
          </w:rPr>
          <w:instrText xml:space="preserve"> PAGEREF _Toc103952170 \h </w:instrText>
        </w:r>
        <w:r w:rsidR="0076073A">
          <w:rPr>
            <w:noProof/>
            <w:webHidden/>
          </w:rPr>
        </w:r>
        <w:r w:rsidR="0076073A">
          <w:rPr>
            <w:noProof/>
            <w:webHidden/>
          </w:rPr>
          <w:fldChar w:fldCharType="separate"/>
        </w:r>
        <w:r w:rsidR="0076073A">
          <w:rPr>
            <w:noProof/>
            <w:webHidden/>
          </w:rPr>
          <w:t>2</w:t>
        </w:r>
        <w:r w:rsidR="0076073A">
          <w:rPr>
            <w:noProof/>
            <w:webHidden/>
          </w:rPr>
          <w:fldChar w:fldCharType="end"/>
        </w:r>
      </w:hyperlink>
    </w:p>
    <w:p w14:paraId="36769EBF" w14:textId="20B1CAC1" w:rsidR="0076073A" w:rsidRDefault="008B5A06">
      <w:pPr>
        <w:pStyle w:val="TOC1"/>
        <w:rPr>
          <w:rFonts w:asciiTheme="minorHAnsi" w:eastAsiaTheme="minorEastAsia" w:hAnsiTheme="minorHAnsi" w:cstheme="minorBidi"/>
          <w:noProof/>
          <w:sz w:val="22"/>
          <w:szCs w:val="22"/>
          <w:lang w:eastAsia="en-GB"/>
        </w:rPr>
      </w:pPr>
      <w:hyperlink w:anchor="_Toc103952171" w:history="1">
        <w:r w:rsidR="0076073A" w:rsidRPr="00D25981">
          <w:rPr>
            <w:rStyle w:val="Hyperlink"/>
            <w:noProof/>
          </w:rPr>
          <w:t>Foreword</w:t>
        </w:r>
        <w:r w:rsidR="0076073A">
          <w:rPr>
            <w:noProof/>
            <w:webHidden/>
          </w:rPr>
          <w:tab/>
        </w:r>
        <w:r w:rsidR="0076073A">
          <w:rPr>
            <w:noProof/>
            <w:webHidden/>
          </w:rPr>
          <w:fldChar w:fldCharType="begin"/>
        </w:r>
        <w:r w:rsidR="0076073A">
          <w:rPr>
            <w:noProof/>
            <w:webHidden/>
          </w:rPr>
          <w:instrText xml:space="preserve"> PAGEREF _Toc103952171 \h </w:instrText>
        </w:r>
        <w:r w:rsidR="0076073A">
          <w:rPr>
            <w:noProof/>
            <w:webHidden/>
          </w:rPr>
        </w:r>
        <w:r w:rsidR="0076073A">
          <w:rPr>
            <w:noProof/>
            <w:webHidden/>
          </w:rPr>
          <w:fldChar w:fldCharType="separate"/>
        </w:r>
        <w:r w:rsidR="0076073A">
          <w:rPr>
            <w:noProof/>
            <w:webHidden/>
          </w:rPr>
          <w:t>3</w:t>
        </w:r>
        <w:r w:rsidR="0076073A">
          <w:rPr>
            <w:noProof/>
            <w:webHidden/>
          </w:rPr>
          <w:fldChar w:fldCharType="end"/>
        </w:r>
      </w:hyperlink>
    </w:p>
    <w:p w14:paraId="7FB4D15C" w14:textId="284CA281" w:rsidR="0076073A" w:rsidRDefault="008B5A06">
      <w:pPr>
        <w:pStyle w:val="TOC1"/>
        <w:rPr>
          <w:rFonts w:asciiTheme="minorHAnsi" w:eastAsiaTheme="minorEastAsia" w:hAnsiTheme="minorHAnsi" w:cstheme="minorBidi"/>
          <w:noProof/>
          <w:sz w:val="22"/>
          <w:szCs w:val="22"/>
          <w:lang w:eastAsia="en-GB"/>
        </w:rPr>
      </w:pPr>
      <w:hyperlink w:anchor="_Toc103952172" w:history="1">
        <w:r w:rsidR="0076073A" w:rsidRPr="00D25981">
          <w:rPr>
            <w:rStyle w:val="Hyperlink"/>
            <w:noProof/>
          </w:rPr>
          <w:t>1. Introduction</w:t>
        </w:r>
        <w:r w:rsidR="0076073A">
          <w:rPr>
            <w:noProof/>
            <w:webHidden/>
          </w:rPr>
          <w:tab/>
        </w:r>
        <w:r w:rsidR="0076073A">
          <w:rPr>
            <w:noProof/>
            <w:webHidden/>
          </w:rPr>
          <w:fldChar w:fldCharType="begin"/>
        </w:r>
        <w:r w:rsidR="0076073A">
          <w:rPr>
            <w:noProof/>
            <w:webHidden/>
          </w:rPr>
          <w:instrText xml:space="preserve"> PAGEREF _Toc103952172 \h </w:instrText>
        </w:r>
        <w:r w:rsidR="0076073A">
          <w:rPr>
            <w:noProof/>
            <w:webHidden/>
          </w:rPr>
        </w:r>
        <w:r w:rsidR="0076073A">
          <w:rPr>
            <w:noProof/>
            <w:webHidden/>
          </w:rPr>
          <w:fldChar w:fldCharType="separate"/>
        </w:r>
        <w:r w:rsidR="0076073A">
          <w:rPr>
            <w:noProof/>
            <w:webHidden/>
          </w:rPr>
          <w:t>3</w:t>
        </w:r>
        <w:r w:rsidR="0076073A">
          <w:rPr>
            <w:noProof/>
            <w:webHidden/>
          </w:rPr>
          <w:fldChar w:fldCharType="end"/>
        </w:r>
      </w:hyperlink>
    </w:p>
    <w:p w14:paraId="56D0BDAB" w14:textId="43474B4F" w:rsidR="0076073A" w:rsidRDefault="008B5A06">
      <w:pPr>
        <w:pStyle w:val="TOC1"/>
        <w:rPr>
          <w:rFonts w:asciiTheme="minorHAnsi" w:eastAsiaTheme="minorEastAsia" w:hAnsiTheme="minorHAnsi" w:cstheme="minorBidi"/>
          <w:noProof/>
          <w:sz w:val="22"/>
          <w:szCs w:val="22"/>
          <w:lang w:eastAsia="en-GB"/>
        </w:rPr>
      </w:pPr>
      <w:hyperlink w:anchor="_Toc103952173" w:history="1">
        <w:r w:rsidR="0076073A" w:rsidRPr="00D25981">
          <w:rPr>
            <w:rStyle w:val="Hyperlink"/>
            <w:noProof/>
          </w:rPr>
          <w:t>2. Summary of findings</w:t>
        </w:r>
        <w:r w:rsidR="0076073A">
          <w:rPr>
            <w:noProof/>
            <w:webHidden/>
          </w:rPr>
          <w:tab/>
        </w:r>
        <w:r w:rsidR="0076073A">
          <w:rPr>
            <w:noProof/>
            <w:webHidden/>
          </w:rPr>
          <w:fldChar w:fldCharType="begin"/>
        </w:r>
        <w:r w:rsidR="0076073A">
          <w:rPr>
            <w:noProof/>
            <w:webHidden/>
          </w:rPr>
          <w:instrText xml:space="preserve"> PAGEREF _Toc103952173 \h </w:instrText>
        </w:r>
        <w:r w:rsidR="0076073A">
          <w:rPr>
            <w:noProof/>
            <w:webHidden/>
          </w:rPr>
        </w:r>
        <w:r w:rsidR="0076073A">
          <w:rPr>
            <w:noProof/>
            <w:webHidden/>
          </w:rPr>
          <w:fldChar w:fldCharType="separate"/>
        </w:r>
        <w:r w:rsidR="0076073A">
          <w:rPr>
            <w:noProof/>
            <w:webHidden/>
          </w:rPr>
          <w:t>3</w:t>
        </w:r>
        <w:r w:rsidR="0076073A">
          <w:rPr>
            <w:noProof/>
            <w:webHidden/>
          </w:rPr>
          <w:fldChar w:fldCharType="end"/>
        </w:r>
      </w:hyperlink>
    </w:p>
    <w:p w14:paraId="21091DB8" w14:textId="0525EA3A" w:rsidR="0076073A" w:rsidRDefault="008B5A06">
      <w:pPr>
        <w:pStyle w:val="TOC1"/>
        <w:rPr>
          <w:rFonts w:asciiTheme="minorHAnsi" w:eastAsiaTheme="minorEastAsia" w:hAnsiTheme="minorHAnsi" w:cstheme="minorBidi"/>
          <w:noProof/>
          <w:sz w:val="22"/>
          <w:szCs w:val="22"/>
          <w:lang w:eastAsia="en-GB"/>
        </w:rPr>
      </w:pPr>
      <w:hyperlink w:anchor="_Toc103952174" w:history="1">
        <w:r w:rsidR="0076073A" w:rsidRPr="00D25981">
          <w:rPr>
            <w:rStyle w:val="Hyperlink"/>
            <w:noProof/>
          </w:rPr>
          <w:t>3. Method</w:t>
        </w:r>
        <w:r w:rsidR="0076073A">
          <w:rPr>
            <w:noProof/>
            <w:webHidden/>
          </w:rPr>
          <w:tab/>
        </w:r>
        <w:r w:rsidR="0076073A">
          <w:rPr>
            <w:noProof/>
            <w:webHidden/>
          </w:rPr>
          <w:fldChar w:fldCharType="begin"/>
        </w:r>
        <w:r w:rsidR="0076073A">
          <w:rPr>
            <w:noProof/>
            <w:webHidden/>
          </w:rPr>
          <w:instrText xml:space="preserve"> PAGEREF _Toc103952174 \h </w:instrText>
        </w:r>
        <w:r w:rsidR="0076073A">
          <w:rPr>
            <w:noProof/>
            <w:webHidden/>
          </w:rPr>
        </w:r>
        <w:r w:rsidR="0076073A">
          <w:rPr>
            <w:noProof/>
            <w:webHidden/>
          </w:rPr>
          <w:fldChar w:fldCharType="separate"/>
        </w:r>
        <w:r w:rsidR="0076073A">
          <w:rPr>
            <w:noProof/>
            <w:webHidden/>
          </w:rPr>
          <w:t>4</w:t>
        </w:r>
        <w:r w:rsidR="0076073A">
          <w:rPr>
            <w:noProof/>
            <w:webHidden/>
          </w:rPr>
          <w:fldChar w:fldCharType="end"/>
        </w:r>
      </w:hyperlink>
    </w:p>
    <w:p w14:paraId="75C5D217" w14:textId="2E574E8A" w:rsidR="0076073A" w:rsidRDefault="008B5A06">
      <w:pPr>
        <w:pStyle w:val="TOC1"/>
        <w:rPr>
          <w:rFonts w:asciiTheme="minorHAnsi" w:eastAsiaTheme="minorEastAsia" w:hAnsiTheme="minorHAnsi" w:cstheme="minorBidi"/>
          <w:noProof/>
          <w:sz w:val="22"/>
          <w:szCs w:val="22"/>
          <w:lang w:eastAsia="en-GB"/>
        </w:rPr>
      </w:pPr>
      <w:hyperlink w:anchor="_Toc103952175" w:history="1">
        <w:r w:rsidR="0076073A" w:rsidRPr="00D25981">
          <w:rPr>
            <w:rStyle w:val="Hyperlink"/>
            <w:noProof/>
          </w:rPr>
          <w:t>4. Findings</w:t>
        </w:r>
        <w:r w:rsidR="0076073A">
          <w:rPr>
            <w:noProof/>
            <w:webHidden/>
          </w:rPr>
          <w:tab/>
        </w:r>
        <w:r w:rsidR="0076073A">
          <w:rPr>
            <w:noProof/>
            <w:webHidden/>
          </w:rPr>
          <w:fldChar w:fldCharType="begin"/>
        </w:r>
        <w:r w:rsidR="0076073A">
          <w:rPr>
            <w:noProof/>
            <w:webHidden/>
          </w:rPr>
          <w:instrText xml:space="preserve"> PAGEREF _Toc103952175 \h </w:instrText>
        </w:r>
        <w:r w:rsidR="0076073A">
          <w:rPr>
            <w:noProof/>
            <w:webHidden/>
          </w:rPr>
        </w:r>
        <w:r w:rsidR="0076073A">
          <w:rPr>
            <w:noProof/>
            <w:webHidden/>
          </w:rPr>
          <w:fldChar w:fldCharType="separate"/>
        </w:r>
        <w:r w:rsidR="0076073A">
          <w:rPr>
            <w:noProof/>
            <w:webHidden/>
          </w:rPr>
          <w:t>4</w:t>
        </w:r>
        <w:r w:rsidR="0076073A">
          <w:rPr>
            <w:noProof/>
            <w:webHidden/>
          </w:rPr>
          <w:fldChar w:fldCharType="end"/>
        </w:r>
      </w:hyperlink>
    </w:p>
    <w:p w14:paraId="4119A9AD" w14:textId="549C7054" w:rsidR="0076073A" w:rsidRDefault="008B5A06">
      <w:pPr>
        <w:pStyle w:val="TOC2"/>
        <w:rPr>
          <w:rFonts w:asciiTheme="minorHAnsi" w:eastAsiaTheme="minorEastAsia" w:hAnsiTheme="minorHAnsi" w:cstheme="minorBidi"/>
          <w:noProof/>
          <w:sz w:val="22"/>
          <w:szCs w:val="22"/>
          <w:lang w:eastAsia="en-GB"/>
        </w:rPr>
      </w:pPr>
      <w:hyperlink w:anchor="_Toc103952176" w:history="1">
        <w:r w:rsidR="0076073A" w:rsidRPr="00D25981">
          <w:rPr>
            <w:rStyle w:val="Hyperlink"/>
            <w:noProof/>
          </w:rPr>
          <w:t>4.1 Children and young people supported by local authority services</w:t>
        </w:r>
        <w:r w:rsidR="0076073A">
          <w:rPr>
            <w:noProof/>
            <w:webHidden/>
          </w:rPr>
          <w:tab/>
        </w:r>
        <w:r w:rsidR="0076073A">
          <w:rPr>
            <w:noProof/>
            <w:webHidden/>
          </w:rPr>
          <w:fldChar w:fldCharType="begin"/>
        </w:r>
        <w:r w:rsidR="0076073A">
          <w:rPr>
            <w:noProof/>
            <w:webHidden/>
          </w:rPr>
          <w:instrText xml:space="preserve"> PAGEREF _Toc103952176 \h </w:instrText>
        </w:r>
        <w:r w:rsidR="0076073A">
          <w:rPr>
            <w:noProof/>
            <w:webHidden/>
          </w:rPr>
        </w:r>
        <w:r w:rsidR="0076073A">
          <w:rPr>
            <w:noProof/>
            <w:webHidden/>
          </w:rPr>
          <w:fldChar w:fldCharType="separate"/>
        </w:r>
        <w:r w:rsidR="0076073A">
          <w:rPr>
            <w:noProof/>
            <w:webHidden/>
          </w:rPr>
          <w:t>4</w:t>
        </w:r>
        <w:r w:rsidR="0076073A">
          <w:rPr>
            <w:noProof/>
            <w:webHidden/>
          </w:rPr>
          <w:fldChar w:fldCharType="end"/>
        </w:r>
      </w:hyperlink>
    </w:p>
    <w:p w14:paraId="108F2C4A" w14:textId="3FD993CD" w:rsidR="0076073A" w:rsidRDefault="008B5A06">
      <w:pPr>
        <w:pStyle w:val="TOC2"/>
        <w:rPr>
          <w:rFonts w:asciiTheme="minorHAnsi" w:eastAsiaTheme="minorEastAsia" w:hAnsiTheme="minorHAnsi" w:cstheme="minorBidi"/>
          <w:noProof/>
          <w:sz w:val="22"/>
          <w:szCs w:val="22"/>
          <w:lang w:eastAsia="en-GB"/>
        </w:rPr>
      </w:pPr>
      <w:hyperlink w:anchor="_Toc103952177" w:history="1">
        <w:r w:rsidR="0076073A" w:rsidRPr="00D25981">
          <w:rPr>
            <w:rStyle w:val="Hyperlink"/>
            <w:noProof/>
          </w:rPr>
          <w:t>4.2 Teachers and support staff</w:t>
        </w:r>
        <w:r w:rsidR="0076073A">
          <w:rPr>
            <w:noProof/>
            <w:webHidden/>
          </w:rPr>
          <w:tab/>
        </w:r>
        <w:r w:rsidR="0076073A">
          <w:rPr>
            <w:noProof/>
            <w:webHidden/>
          </w:rPr>
          <w:fldChar w:fldCharType="begin"/>
        </w:r>
        <w:r w:rsidR="0076073A">
          <w:rPr>
            <w:noProof/>
            <w:webHidden/>
          </w:rPr>
          <w:instrText xml:space="preserve"> PAGEREF _Toc103952177 \h </w:instrText>
        </w:r>
        <w:r w:rsidR="0076073A">
          <w:rPr>
            <w:noProof/>
            <w:webHidden/>
          </w:rPr>
        </w:r>
        <w:r w:rsidR="0076073A">
          <w:rPr>
            <w:noProof/>
            <w:webHidden/>
          </w:rPr>
          <w:fldChar w:fldCharType="separate"/>
        </w:r>
        <w:r w:rsidR="0076073A">
          <w:rPr>
            <w:noProof/>
            <w:webHidden/>
          </w:rPr>
          <w:t>6</w:t>
        </w:r>
        <w:r w:rsidR="0076073A">
          <w:rPr>
            <w:noProof/>
            <w:webHidden/>
          </w:rPr>
          <w:fldChar w:fldCharType="end"/>
        </w:r>
      </w:hyperlink>
    </w:p>
    <w:p w14:paraId="5FA2CF93" w14:textId="4C2CC3F6" w:rsidR="0076073A" w:rsidRDefault="008B5A06">
      <w:pPr>
        <w:pStyle w:val="TOC2"/>
        <w:rPr>
          <w:rFonts w:asciiTheme="minorHAnsi" w:eastAsiaTheme="minorEastAsia" w:hAnsiTheme="minorHAnsi" w:cstheme="minorBidi"/>
          <w:noProof/>
          <w:sz w:val="22"/>
          <w:szCs w:val="22"/>
          <w:lang w:eastAsia="en-GB"/>
        </w:rPr>
      </w:pPr>
      <w:hyperlink w:anchor="_Toc103952178" w:history="1">
        <w:r w:rsidR="0076073A" w:rsidRPr="00D25981">
          <w:rPr>
            <w:rStyle w:val="Hyperlink"/>
            <w:noProof/>
          </w:rPr>
          <w:t>4.3 Habilitation</w:t>
        </w:r>
        <w:r w:rsidR="0076073A">
          <w:rPr>
            <w:noProof/>
            <w:webHidden/>
          </w:rPr>
          <w:tab/>
        </w:r>
        <w:r w:rsidR="0076073A">
          <w:rPr>
            <w:noProof/>
            <w:webHidden/>
          </w:rPr>
          <w:fldChar w:fldCharType="begin"/>
        </w:r>
        <w:r w:rsidR="0076073A">
          <w:rPr>
            <w:noProof/>
            <w:webHidden/>
          </w:rPr>
          <w:instrText xml:space="preserve"> PAGEREF _Toc103952178 \h </w:instrText>
        </w:r>
        <w:r w:rsidR="0076073A">
          <w:rPr>
            <w:noProof/>
            <w:webHidden/>
          </w:rPr>
        </w:r>
        <w:r w:rsidR="0076073A">
          <w:rPr>
            <w:noProof/>
            <w:webHidden/>
          </w:rPr>
          <w:fldChar w:fldCharType="separate"/>
        </w:r>
        <w:r w:rsidR="0076073A">
          <w:rPr>
            <w:noProof/>
            <w:webHidden/>
          </w:rPr>
          <w:t>7</w:t>
        </w:r>
        <w:r w:rsidR="0076073A">
          <w:rPr>
            <w:noProof/>
            <w:webHidden/>
          </w:rPr>
          <w:fldChar w:fldCharType="end"/>
        </w:r>
      </w:hyperlink>
    </w:p>
    <w:p w14:paraId="04021931" w14:textId="329F5E6F" w:rsidR="0076073A" w:rsidRDefault="008B5A06">
      <w:pPr>
        <w:pStyle w:val="TOC1"/>
        <w:rPr>
          <w:rFonts w:asciiTheme="minorHAnsi" w:eastAsiaTheme="minorEastAsia" w:hAnsiTheme="minorHAnsi" w:cstheme="minorBidi"/>
          <w:noProof/>
          <w:sz w:val="22"/>
          <w:szCs w:val="22"/>
          <w:lang w:eastAsia="en-GB"/>
        </w:rPr>
      </w:pPr>
      <w:hyperlink w:anchor="_Toc103952179" w:history="1">
        <w:r w:rsidR="0076073A" w:rsidRPr="00D25981">
          <w:rPr>
            <w:rStyle w:val="Hyperlink"/>
            <w:noProof/>
          </w:rPr>
          <w:t>5. Conclusion</w:t>
        </w:r>
        <w:r w:rsidR="0076073A">
          <w:rPr>
            <w:noProof/>
            <w:webHidden/>
          </w:rPr>
          <w:tab/>
        </w:r>
        <w:r w:rsidR="0076073A">
          <w:rPr>
            <w:noProof/>
            <w:webHidden/>
          </w:rPr>
          <w:fldChar w:fldCharType="begin"/>
        </w:r>
        <w:r w:rsidR="0076073A">
          <w:rPr>
            <w:noProof/>
            <w:webHidden/>
          </w:rPr>
          <w:instrText xml:space="preserve"> PAGEREF _Toc103952179 \h </w:instrText>
        </w:r>
        <w:r w:rsidR="0076073A">
          <w:rPr>
            <w:noProof/>
            <w:webHidden/>
          </w:rPr>
        </w:r>
        <w:r w:rsidR="0076073A">
          <w:rPr>
            <w:noProof/>
            <w:webHidden/>
          </w:rPr>
          <w:fldChar w:fldCharType="separate"/>
        </w:r>
        <w:r w:rsidR="0076073A">
          <w:rPr>
            <w:noProof/>
            <w:webHidden/>
          </w:rPr>
          <w:t>8</w:t>
        </w:r>
        <w:r w:rsidR="0076073A">
          <w:rPr>
            <w:noProof/>
            <w:webHidden/>
          </w:rPr>
          <w:fldChar w:fldCharType="end"/>
        </w:r>
      </w:hyperlink>
    </w:p>
    <w:p w14:paraId="7E4E08AF" w14:textId="77777777" w:rsidR="003607B8" w:rsidRDefault="003607B8" w:rsidP="003607B8">
      <w:r w:rsidRPr="00E2248C">
        <w:fldChar w:fldCharType="end"/>
      </w:r>
    </w:p>
    <w:p w14:paraId="12B01079" w14:textId="77777777" w:rsidR="003607B8" w:rsidRDefault="003607B8" w:rsidP="003607B8">
      <w:pPr>
        <w:rPr>
          <w:b/>
          <w:kern w:val="32"/>
          <w:sz w:val="44"/>
        </w:rPr>
      </w:pPr>
    </w:p>
    <w:p w14:paraId="07749ED8" w14:textId="77777777" w:rsidR="003607B8" w:rsidRDefault="003607B8" w:rsidP="003607B8">
      <w:pPr>
        <w:rPr>
          <w:b/>
          <w:kern w:val="32"/>
          <w:sz w:val="44"/>
        </w:rPr>
      </w:pPr>
    </w:p>
    <w:p w14:paraId="1FFE7061" w14:textId="77777777" w:rsidR="003607B8" w:rsidRDefault="003607B8" w:rsidP="003607B8">
      <w:pPr>
        <w:rPr>
          <w:b/>
          <w:kern w:val="32"/>
          <w:sz w:val="44"/>
        </w:rPr>
      </w:pPr>
    </w:p>
    <w:p w14:paraId="7F29FDA5" w14:textId="77777777" w:rsidR="003607B8" w:rsidRDefault="003607B8" w:rsidP="003607B8">
      <w:pPr>
        <w:rPr>
          <w:b/>
          <w:kern w:val="32"/>
          <w:sz w:val="44"/>
        </w:rPr>
      </w:pPr>
    </w:p>
    <w:p w14:paraId="08F49CEE" w14:textId="505EE6A8" w:rsidR="003607B8" w:rsidRDefault="003607B8" w:rsidP="003607B8">
      <w:pPr>
        <w:rPr>
          <w:b/>
          <w:kern w:val="32"/>
          <w:sz w:val="44"/>
        </w:rPr>
      </w:pPr>
    </w:p>
    <w:p w14:paraId="63C3A3B4" w14:textId="77777777" w:rsidR="00746C22" w:rsidRDefault="00746C22" w:rsidP="003607B8">
      <w:pPr>
        <w:rPr>
          <w:b/>
          <w:kern w:val="32"/>
          <w:sz w:val="44"/>
        </w:rPr>
      </w:pPr>
    </w:p>
    <w:p w14:paraId="2B34FED9" w14:textId="77777777" w:rsidR="003607B8" w:rsidRDefault="003607B8" w:rsidP="003607B8">
      <w:pPr>
        <w:rPr>
          <w:b/>
          <w:kern w:val="32"/>
          <w:sz w:val="44"/>
        </w:rPr>
      </w:pPr>
    </w:p>
    <w:p w14:paraId="2B21A100" w14:textId="77777777" w:rsidR="003607B8" w:rsidRDefault="003607B8" w:rsidP="003607B8">
      <w:pPr>
        <w:pStyle w:val="Heading1"/>
      </w:pPr>
      <w:bookmarkStart w:id="20" w:name="_Toc103952170"/>
      <w:proofErr w:type="spellStart"/>
      <w:r w:rsidRPr="00E15EF8">
        <w:t>i</w:t>
      </w:r>
      <w:proofErr w:type="spellEnd"/>
      <w:r w:rsidRPr="00E15EF8">
        <w:t>. Glossary</w:t>
      </w:r>
      <w:bookmarkEnd w:id="20"/>
    </w:p>
    <w:p w14:paraId="442A527E" w14:textId="77777777" w:rsidR="003607B8" w:rsidRDefault="003607B8" w:rsidP="003607B8">
      <w:r>
        <w:t>The following table is a glossary containing acronyms used in this report and their definitions. There are two columns. The first column contains the acronym, and the second column contains the definition.</w:t>
      </w:r>
    </w:p>
    <w:p w14:paraId="26AB8F48" w14:textId="77777777" w:rsidR="003607B8" w:rsidRPr="00C464CA" w:rsidRDefault="003607B8" w:rsidP="003607B8"/>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7603"/>
      </w:tblGrid>
      <w:tr w:rsidR="003607B8" w14:paraId="3DC4E9D3" w14:textId="77777777" w:rsidTr="00547EC6">
        <w:tc>
          <w:tcPr>
            <w:tcW w:w="1413" w:type="dxa"/>
          </w:tcPr>
          <w:p w14:paraId="2637BD8A" w14:textId="77777777" w:rsidR="00984594" w:rsidRDefault="00984594" w:rsidP="00547EC6">
            <w:pPr>
              <w:spacing w:after="120"/>
              <w:rPr>
                <w:b/>
                <w:bCs/>
              </w:rPr>
            </w:pPr>
            <w:r>
              <w:rPr>
                <w:b/>
                <w:bCs/>
              </w:rPr>
              <w:t xml:space="preserve">ASN </w:t>
            </w:r>
          </w:p>
          <w:p w14:paraId="5C86C0AC" w14:textId="77777777" w:rsidR="003607B8" w:rsidRDefault="003607B8" w:rsidP="00547EC6">
            <w:pPr>
              <w:spacing w:after="120"/>
              <w:rPr>
                <w:b/>
                <w:bCs/>
              </w:rPr>
            </w:pPr>
            <w:r w:rsidRPr="00B97862">
              <w:rPr>
                <w:b/>
                <w:bCs/>
              </w:rPr>
              <w:t>CFVI</w:t>
            </w:r>
          </w:p>
          <w:p w14:paraId="7C437EFD" w14:textId="77777777" w:rsidR="00984594" w:rsidRDefault="00984594" w:rsidP="00547EC6">
            <w:pPr>
              <w:spacing w:after="120"/>
              <w:rPr>
                <w:b/>
                <w:bCs/>
              </w:rPr>
            </w:pPr>
          </w:p>
          <w:p w14:paraId="1EA47907" w14:textId="378B33D2" w:rsidR="00984594" w:rsidRPr="005902A3" w:rsidRDefault="00984594" w:rsidP="00547EC6">
            <w:pPr>
              <w:spacing w:after="120"/>
              <w:rPr>
                <w:b/>
              </w:rPr>
            </w:pPr>
            <w:r>
              <w:rPr>
                <w:b/>
                <w:bCs/>
              </w:rPr>
              <w:t>CSP</w:t>
            </w:r>
          </w:p>
        </w:tc>
        <w:tc>
          <w:tcPr>
            <w:tcW w:w="7603" w:type="dxa"/>
          </w:tcPr>
          <w:p w14:paraId="7E756B2C" w14:textId="436F0E35" w:rsidR="00984594" w:rsidRDefault="00984594" w:rsidP="00547EC6">
            <w:pPr>
              <w:spacing w:after="120"/>
            </w:pPr>
            <w:r>
              <w:t>Additional Support Needs</w:t>
            </w:r>
          </w:p>
          <w:p w14:paraId="185FF8AD" w14:textId="77777777" w:rsidR="003607B8" w:rsidRDefault="003607B8" w:rsidP="00547EC6">
            <w:pPr>
              <w:spacing w:after="120"/>
            </w:pPr>
            <w:r>
              <w:t>Curriculum Framework for Children and Young People with Vision Impairment</w:t>
            </w:r>
          </w:p>
          <w:p w14:paraId="26C3BA0A" w14:textId="14B179B2" w:rsidR="00984594" w:rsidRDefault="00984594" w:rsidP="00547EC6">
            <w:pPr>
              <w:spacing w:after="120"/>
            </w:pPr>
            <w:r>
              <w:t>Co-ordinated Support Plan</w:t>
            </w:r>
          </w:p>
        </w:tc>
      </w:tr>
      <w:tr w:rsidR="003607B8" w14:paraId="5B287880" w14:textId="77777777" w:rsidTr="00547EC6">
        <w:tc>
          <w:tcPr>
            <w:tcW w:w="1413" w:type="dxa"/>
          </w:tcPr>
          <w:p w14:paraId="464B1579" w14:textId="75F04F99" w:rsidR="003607B8" w:rsidRPr="005902A3" w:rsidRDefault="003607B8" w:rsidP="00547EC6">
            <w:pPr>
              <w:spacing w:after="120"/>
              <w:rPr>
                <w:b/>
              </w:rPr>
            </w:pPr>
            <w:r w:rsidRPr="005902A3">
              <w:rPr>
                <w:b/>
              </w:rPr>
              <w:t>CYP</w:t>
            </w:r>
          </w:p>
        </w:tc>
        <w:tc>
          <w:tcPr>
            <w:tcW w:w="7603" w:type="dxa"/>
          </w:tcPr>
          <w:p w14:paraId="4983AA48" w14:textId="033E0BB4" w:rsidR="003607B8" w:rsidRDefault="003607B8" w:rsidP="00547EC6">
            <w:pPr>
              <w:spacing w:after="120"/>
            </w:pPr>
            <w:r>
              <w:t>Children and Young People</w:t>
            </w:r>
          </w:p>
        </w:tc>
      </w:tr>
      <w:tr w:rsidR="003607B8" w14:paraId="6174D3AA" w14:textId="77777777" w:rsidTr="00547EC6">
        <w:tc>
          <w:tcPr>
            <w:tcW w:w="1413" w:type="dxa"/>
          </w:tcPr>
          <w:p w14:paraId="3AA3B95E" w14:textId="77777777" w:rsidR="003607B8" w:rsidRPr="005902A3" w:rsidRDefault="003607B8" w:rsidP="00547EC6">
            <w:pPr>
              <w:spacing w:after="120"/>
              <w:rPr>
                <w:b/>
              </w:rPr>
            </w:pPr>
            <w:r>
              <w:rPr>
                <w:b/>
              </w:rPr>
              <w:t>DHT</w:t>
            </w:r>
          </w:p>
        </w:tc>
        <w:tc>
          <w:tcPr>
            <w:tcW w:w="7603" w:type="dxa"/>
          </w:tcPr>
          <w:p w14:paraId="360B1015" w14:textId="77777777" w:rsidR="003607B8" w:rsidRDefault="003607B8" w:rsidP="00547EC6">
            <w:pPr>
              <w:spacing w:after="120"/>
            </w:pPr>
            <w:r>
              <w:t xml:space="preserve">Deputy Headteacher </w:t>
            </w:r>
          </w:p>
        </w:tc>
      </w:tr>
      <w:tr w:rsidR="003607B8" w14:paraId="5824944C" w14:textId="77777777" w:rsidTr="00547EC6">
        <w:tc>
          <w:tcPr>
            <w:tcW w:w="1413" w:type="dxa"/>
          </w:tcPr>
          <w:p w14:paraId="59E8F906" w14:textId="77777777" w:rsidR="003607B8" w:rsidRPr="005902A3" w:rsidRDefault="003607B8" w:rsidP="00547EC6">
            <w:pPr>
              <w:spacing w:after="120"/>
              <w:rPr>
                <w:b/>
              </w:rPr>
            </w:pPr>
            <w:r w:rsidRPr="005902A3">
              <w:rPr>
                <w:b/>
              </w:rPr>
              <w:t>FOI</w:t>
            </w:r>
          </w:p>
        </w:tc>
        <w:tc>
          <w:tcPr>
            <w:tcW w:w="7603" w:type="dxa"/>
          </w:tcPr>
          <w:p w14:paraId="59A633F8" w14:textId="77777777" w:rsidR="003607B8" w:rsidRDefault="003607B8" w:rsidP="00547EC6">
            <w:pPr>
              <w:spacing w:after="120"/>
            </w:pPr>
            <w:r>
              <w:t>Freedom of Information</w:t>
            </w:r>
          </w:p>
        </w:tc>
      </w:tr>
      <w:tr w:rsidR="003607B8" w14:paraId="6EAED39D" w14:textId="77777777" w:rsidTr="00547EC6">
        <w:tc>
          <w:tcPr>
            <w:tcW w:w="1413" w:type="dxa"/>
          </w:tcPr>
          <w:p w14:paraId="0E5A1455" w14:textId="77777777" w:rsidR="003607B8" w:rsidRPr="005902A3" w:rsidRDefault="003607B8" w:rsidP="00547EC6">
            <w:pPr>
              <w:spacing w:after="120"/>
              <w:rPr>
                <w:b/>
              </w:rPr>
            </w:pPr>
            <w:r w:rsidRPr="005902A3">
              <w:rPr>
                <w:b/>
              </w:rPr>
              <w:t>FTE</w:t>
            </w:r>
          </w:p>
        </w:tc>
        <w:tc>
          <w:tcPr>
            <w:tcW w:w="7603" w:type="dxa"/>
          </w:tcPr>
          <w:p w14:paraId="30CAC9DC" w14:textId="77777777" w:rsidR="003607B8" w:rsidRDefault="003607B8" w:rsidP="00547EC6">
            <w:pPr>
              <w:spacing w:after="120"/>
            </w:pPr>
            <w:r>
              <w:t>Full-time Equivalent</w:t>
            </w:r>
          </w:p>
        </w:tc>
      </w:tr>
      <w:tr w:rsidR="003607B8" w14:paraId="33939CE5" w14:textId="77777777" w:rsidTr="00547EC6">
        <w:tc>
          <w:tcPr>
            <w:tcW w:w="1413" w:type="dxa"/>
          </w:tcPr>
          <w:p w14:paraId="43F90DF2" w14:textId="77777777" w:rsidR="003607B8" w:rsidRPr="00B613A6" w:rsidRDefault="003607B8" w:rsidP="00547EC6">
            <w:pPr>
              <w:spacing w:after="120"/>
              <w:rPr>
                <w:b/>
                <w:bCs/>
              </w:rPr>
            </w:pPr>
            <w:r w:rsidRPr="00B613A6">
              <w:rPr>
                <w:b/>
                <w:bCs/>
              </w:rPr>
              <w:t>GIRFEC</w:t>
            </w:r>
          </w:p>
        </w:tc>
        <w:tc>
          <w:tcPr>
            <w:tcW w:w="7603" w:type="dxa"/>
          </w:tcPr>
          <w:p w14:paraId="4498C392" w14:textId="77777777" w:rsidR="003607B8" w:rsidRDefault="003607B8" w:rsidP="00547EC6">
            <w:pPr>
              <w:spacing w:after="120"/>
            </w:pPr>
            <w:r>
              <w:t xml:space="preserve">Getting It Right </w:t>
            </w:r>
            <w:proofErr w:type="gramStart"/>
            <w:r>
              <w:t>For</w:t>
            </w:r>
            <w:proofErr w:type="gramEnd"/>
            <w:r>
              <w:t xml:space="preserve"> Every Child</w:t>
            </w:r>
          </w:p>
        </w:tc>
      </w:tr>
      <w:tr w:rsidR="003607B8" w14:paraId="4F4BEACD" w14:textId="77777777" w:rsidTr="00547EC6">
        <w:tc>
          <w:tcPr>
            <w:tcW w:w="1413" w:type="dxa"/>
          </w:tcPr>
          <w:p w14:paraId="40F6C366" w14:textId="77777777" w:rsidR="003607B8" w:rsidRPr="005902A3" w:rsidRDefault="003607B8" w:rsidP="00547EC6">
            <w:pPr>
              <w:spacing w:after="120"/>
              <w:rPr>
                <w:b/>
              </w:rPr>
            </w:pPr>
            <w:r w:rsidRPr="005902A3">
              <w:rPr>
                <w:b/>
              </w:rPr>
              <w:t>HI</w:t>
            </w:r>
          </w:p>
        </w:tc>
        <w:tc>
          <w:tcPr>
            <w:tcW w:w="7603" w:type="dxa"/>
          </w:tcPr>
          <w:p w14:paraId="55B30176" w14:textId="77777777" w:rsidR="003607B8" w:rsidRDefault="003607B8" w:rsidP="00547EC6">
            <w:pPr>
              <w:spacing w:after="120"/>
            </w:pPr>
            <w:r>
              <w:t xml:space="preserve">Hearing Impairment </w:t>
            </w:r>
          </w:p>
        </w:tc>
      </w:tr>
      <w:tr w:rsidR="003607B8" w14:paraId="5E926DEC" w14:textId="77777777" w:rsidTr="00547EC6">
        <w:tc>
          <w:tcPr>
            <w:tcW w:w="1413" w:type="dxa"/>
          </w:tcPr>
          <w:p w14:paraId="2E7B99A2" w14:textId="77777777" w:rsidR="003607B8" w:rsidRPr="005902A3" w:rsidRDefault="003607B8" w:rsidP="00547EC6">
            <w:pPr>
              <w:spacing w:after="120"/>
              <w:rPr>
                <w:b/>
              </w:rPr>
            </w:pPr>
            <w:r w:rsidRPr="005902A3">
              <w:rPr>
                <w:b/>
              </w:rPr>
              <w:t>LA</w:t>
            </w:r>
          </w:p>
        </w:tc>
        <w:tc>
          <w:tcPr>
            <w:tcW w:w="7603" w:type="dxa"/>
          </w:tcPr>
          <w:p w14:paraId="56C1A98D" w14:textId="77777777" w:rsidR="003607B8" w:rsidRDefault="003607B8" w:rsidP="00547EC6">
            <w:pPr>
              <w:spacing w:after="120"/>
            </w:pPr>
            <w:r>
              <w:t>Local Authority</w:t>
            </w:r>
          </w:p>
        </w:tc>
      </w:tr>
      <w:tr w:rsidR="003607B8" w14:paraId="596B916C" w14:textId="77777777" w:rsidTr="00547EC6">
        <w:tc>
          <w:tcPr>
            <w:tcW w:w="1413" w:type="dxa"/>
          </w:tcPr>
          <w:p w14:paraId="328FDF8F" w14:textId="77777777" w:rsidR="003607B8" w:rsidRPr="005902A3" w:rsidRDefault="003607B8" w:rsidP="00547EC6">
            <w:pPr>
              <w:spacing w:after="120"/>
              <w:rPr>
                <w:b/>
              </w:rPr>
            </w:pPr>
            <w:r w:rsidRPr="005902A3">
              <w:rPr>
                <w:b/>
              </w:rPr>
              <w:t>MQ</w:t>
            </w:r>
          </w:p>
        </w:tc>
        <w:tc>
          <w:tcPr>
            <w:tcW w:w="7603" w:type="dxa"/>
          </w:tcPr>
          <w:p w14:paraId="54804F35" w14:textId="77777777" w:rsidR="003607B8" w:rsidRDefault="003607B8" w:rsidP="00547EC6">
            <w:pPr>
              <w:spacing w:after="120"/>
            </w:pPr>
            <w:r>
              <w:t>Mandatory Qualification</w:t>
            </w:r>
          </w:p>
        </w:tc>
      </w:tr>
      <w:tr w:rsidR="003607B8" w14:paraId="707A4661" w14:textId="77777777" w:rsidTr="00547EC6">
        <w:tc>
          <w:tcPr>
            <w:tcW w:w="1413" w:type="dxa"/>
          </w:tcPr>
          <w:p w14:paraId="0EB6CF07" w14:textId="77777777" w:rsidR="003607B8" w:rsidRPr="005902A3" w:rsidRDefault="003607B8" w:rsidP="00547EC6">
            <w:pPr>
              <w:spacing w:after="120"/>
              <w:rPr>
                <w:b/>
              </w:rPr>
            </w:pPr>
            <w:r w:rsidRPr="005902A3">
              <w:rPr>
                <w:b/>
              </w:rPr>
              <w:t>MSI</w:t>
            </w:r>
          </w:p>
        </w:tc>
        <w:tc>
          <w:tcPr>
            <w:tcW w:w="7603" w:type="dxa"/>
          </w:tcPr>
          <w:p w14:paraId="1630FD83" w14:textId="77777777" w:rsidR="003607B8" w:rsidRDefault="003607B8" w:rsidP="00547EC6">
            <w:pPr>
              <w:spacing w:after="120"/>
            </w:pPr>
            <w:r>
              <w:t>Multi-sensory Impairment</w:t>
            </w:r>
          </w:p>
        </w:tc>
      </w:tr>
      <w:tr w:rsidR="003607B8" w14:paraId="6B2A604F" w14:textId="77777777" w:rsidTr="00547EC6">
        <w:tc>
          <w:tcPr>
            <w:tcW w:w="1413" w:type="dxa"/>
          </w:tcPr>
          <w:p w14:paraId="348ECD68" w14:textId="77777777" w:rsidR="003607B8" w:rsidRDefault="003607B8" w:rsidP="00547EC6">
            <w:pPr>
              <w:spacing w:after="120"/>
              <w:rPr>
                <w:b/>
              </w:rPr>
            </w:pPr>
            <w:proofErr w:type="spellStart"/>
            <w:r w:rsidRPr="005902A3">
              <w:rPr>
                <w:b/>
              </w:rPr>
              <w:t>NatSIP</w:t>
            </w:r>
            <w:proofErr w:type="spellEnd"/>
          </w:p>
          <w:p w14:paraId="1DEAF57F" w14:textId="15FD5F30" w:rsidR="00984594" w:rsidRPr="005902A3" w:rsidRDefault="00984594" w:rsidP="00547EC6">
            <w:pPr>
              <w:spacing w:after="120"/>
              <w:rPr>
                <w:b/>
              </w:rPr>
            </w:pPr>
            <w:r>
              <w:rPr>
                <w:b/>
              </w:rPr>
              <w:t>PLP</w:t>
            </w:r>
          </w:p>
        </w:tc>
        <w:tc>
          <w:tcPr>
            <w:tcW w:w="7603" w:type="dxa"/>
          </w:tcPr>
          <w:p w14:paraId="32F76C9B" w14:textId="590E4355" w:rsidR="00984594" w:rsidRDefault="003607B8" w:rsidP="00547EC6">
            <w:pPr>
              <w:spacing w:after="120"/>
            </w:pPr>
            <w:r>
              <w:t>National Sensory Impairment Partnership</w:t>
            </w:r>
          </w:p>
          <w:p w14:paraId="59D8BF29" w14:textId="711C6B4D" w:rsidR="00984594" w:rsidRDefault="00984594" w:rsidP="00547EC6">
            <w:pPr>
              <w:spacing w:after="120"/>
            </w:pPr>
            <w:r>
              <w:t>Personal Learning Plan</w:t>
            </w:r>
          </w:p>
        </w:tc>
      </w:tr>
      <w:tr w:rsidR="003607B8" w14:paraId="29A8F04B" w14:textId="77777777" w:rsidTr="00547EC6">
        <w:tc>
          <w:tcPr>
            <w:tcW w:w="1413" w:type="dxa"/>
          </w:tcPr>
          <w:p w14:paraId="53BD9D6D" w14:textId="77777777" w:rsidR="003607B8" w:rsidRPr="005902A3" w:rsidRDefault="003607B8" w:rsidP="00547EC6">
            <w:pPr>
              <w:spacing w:after="120"/>
              <w:rPr>
                <w:b/>
              </w:rPr>
            </w:pPr>
            <w:r>
              <w:rPr>
                <w:b/>
              </w:rPr>
              <w:t>PSA</w:t>
            </w:r>
          </w:p>
        </w:tc>
        <w:tc>
          <w:tcPr>
            <w:tcW w:w="7603" w:type="dxa"/>
          </w:tcPr>
          <w:p w14:paraId="2C4D39A3" w14:textId="77777777" w:rsidR="003607B8" w:rsidRDefault="003607B8" w:rsidP="00547EC6">
            <w:pPr>
              <w:spacing w:after="120"/>
            </w:pPr>
            <w:r>
              <w:t>Pupil Support Assistant</w:t>
            </w:r>
          </w:p>
        </w:tc>
      </w:tr>
      <w:tr w:rsidR="003607B8" w14:paraId="0D21E80B" w14:textId="77777777" w:rsidTr="00547EC6">
        <w:tc>
          <w:tcPr>
            <w:tcW w:w="1413" w:type="dxa"/>
          </w:tcPr>
          <w:p w14:paraId="51172B10" w14:textId="77777777" w:rsidR="003607B8" w:rsidRPr="005902A3" w:rsidRDefault="003607B8" w:rsidP="00547EC6">
            <w:pPr>
              <w:spacing w:after="120"/>
              <w:rPr>
                <w:b/>
              </w:rPr>
            </w:pPr>
            <w:r w:rsidRPr="005902A3">
              <w:rPr>
                <w:b/>
              </w:rPr>
              <w:t>QTMSI</w:t>
            </w:r>
          </w:p>
        </w:tc>
        <w:tc>
          <w:tcPr>
            <w:tcW w:w="7603" w:type="dxa"/>
          </w:tcPr>
          <w:p w14:paraId="00DBD909" w14:textId="77777777" w:rsidR="003607B8" w:rsidRDefault="003607B8" w:rsidP="00547EC6">
            <w:pPr>
              <w:spacing w:after="120"/>
            </w:pPr>
            <w:r>
              <w:t>Qualified Teacher of children and young people with Multi-Sensory Impairment</w:t>
            </w:r>
          </w:p>
        </w:tc>
      </w:tr>
      <w:tr w:rsidR="003607B8" w14:paraId="2B64698D" w14:textId="77777777" w:rsidTr="00547EC6">
        <w:tc>
          <w:tcPr>
            <w:tcW w:w="1413" w:type="dxa"/>
          </w:tcPr>
          <w:p w14:paraId="68CFA332" w14:textId="77777777" w:rsidR="003607B8" w:rsidRPr="005902A3" w:rsidRDefault="003607B8" w:rsidP="00547EC6">
            <w:pPr>
              <w:spacing w:after="120"/>
              <w:rPr>
                <w:b/>
              </w:rPr>
            </w:pPr>
            <w:r w:rsidRPr="005902A3">
              <w:rPr>
                <w:b/>
              </w:rPr>
              <w:t>QTVI</w:t>
            </w:r>
          </w:p>
        </w:tc>
        <w:tc>
          <w:tcPr>
            <w:tcW w:w="7603" w:type="dxa"/>
          </w:tcPr>
          <w:p w14:paraId="00B49929" w14:textId="77777777" w:rsidR="003607B8" w:rsidRDefault="003607B8" w:rsidP="00547EC6">
            <w:pPr>
              <w:spacing w:after="120"/>
            </w:pPr>
            <w:r>
              <w:t>Qualified Teacher of children and young people with Vision Impairment</w:t>
            </w:r>
          </w:p>
        </w:tc>
      </w:tr>
      <w:tr w:rsidR="003607B8" w14:paraId="1767D83A" w14:textId="77777777" w:rsidTr="00547EC6">
        <w:tc>
          <w:tcPr>
            <w:tcW w:w="1413" w:type="dxa"/>
          </w:tcPr>
          <w:p w14:paraId="46320DC8" w14:textId="77777777" w:rsidR="003607B8" w:rsidRPr="005902A3" w:rsidRDefault="003607B8" w:rsidP="00547EC6">
            <w:pPr>
              <w:spacing w:after="120"/>
              <w:rPr>
                <w:b/>
              </w:rPr>
            </w:pPr>
            <w:r w:rsidRPr="005902A3">
              <w:rPr>
                <w:b/>
              </w:rPr>
              <w:t>RNIB</w:t>
            </w:r>
          </w:p>
        </w:tc>
        <w:tc>
          <w:tcPr>
            <w:tcW w:w="7603" w:type="dxa"/>
          </w:tcPr>
          <w:p w14:paraId="0947828C" w14:textId="77777777" w:rsidR="003607B8" w:rsidRDefault="003607B8" w:rsidP="00547EC6">
            <w:pPr>
              <w:spacing w:after="120"/>
            </w:pPr>
            <w:r>
              <w:t>Royal National Institute of Blind People</w:t>
            </w:r>
          </w:p>
        </w:tc>
      </w:tr>
      <w:tr w:rsidR="003607B8" w14:paraId="3A8299B0" w14:textId="77777777" w:rsidTr="00547EC6">
        <w:tc>
          <w:tcPr>
            <w:tcW w:w="1413" w:type="dxa"/>
          </w:tcPr>
          <w:p w14:paraId="05DEF8B9" w14:textId="77777777" w:rsidR="003607B8" w:rsidRPr="005902A3" w:rsidRDefault="003607B8" w:rsidP="00547EC6">
            <w:pPr>
              <w:spacing w:after="120"/>
              <w:rPr>
                <w:b/>
              </w:rPr>
            </w:pPr>
            <w:r w:rsidRPr="005902A3">
              <w:rPr>
                <w:b/>
              </w:rPr>
              <w:t>SEN</w:t>
            </w:r>
          </w:p>
        </w:tc>
        <w:tc>
          <w:tcPr>
            <w:tcW w:w="7603" w:type="dxa"/>
          </w:tcPr>
          <w:p w14:paraId="55F887E7" w14:textId="77777777" w:rsidR="003607B8" w:rsidRDefault="003607B8" w:rsidP="00547EC6">
            <w:pPr>
              <w:spacing w:after="120"/>
            </w:pPr>
            <w:r>
              <w:t>Special Educational Needs</w:t>
            </w:r>
          </w:p>
        </w:tc>
      </w:tr>
      <w:tr w:rsidR="003607B8" w14:paraId="3FFF3770" w14:textId="77777777" w:rsidTr="00547EC6">
        <w:tc>
          <w:tcPr>
            <w:tcW w:w="1413" w:type="dxa"/>
          </w:tcPr>
          <w:p w14:paraId="3F4EB693" w14:textId="77777777" w:rsidR="003607B8" w:rsidRPr="005902A3" w:rsidRDefault="003607B8" w:rsidP="00547EC6">
            <w:pPr>
              <w:spacing w:after="120"/>
              <w:rPr>
                <w:b/>
              </w:rPr>
            </w:pPr>
            <w:r w:rsidRPr="005902A3">
              <w:rPr>
                <w:b/>
              </w:rPr>
              <w:t>SEND</w:t>
            </w:r>
          </w:p>
        </w:tc>
        <w:tc>
          <w:tcPr>
            <w:tcW w:w="7603" w:type="dxa"/>
          </w:tcPr>
          <w:p w14:paraId="49BF03BD" w14:textId="77777777" w:rsidR="003607B8" w:rsidRDefault="003607B8" w:rsidP="00547EC6">
            <w:pPr>
              <w:spacing w:after="120"/>
            </w:pPr>
            <w:r>
              <w:t>Special Educational Needs and Disabilities</w:t>
            </w:r>
          </w:p>
        </w:tc>
      </w:tr>
      <w:tr w:rsidR="003607B8" w14:paraId="12671C75" w14:textId="77777777" w:rsidTr="00547EC6">
        <w:tc>
          <w:tcPr>
            <w:tcW w:w="1413" w:type="dxa"/>
          </w:tcPr>
          <w:p w14:paraId="3CFE8BFE" w14:textId="77777777" w:rsidR="003607B8" w:rsidRPr="005902A3" w:rsidRDefault="003607B8" w:rsidP="00547EC6">
            <w:pPr>
              <w:spacing w:after="120"/>
              <w:rPr>
                <w:b/>
              </w:rPr>
            </w:pPr>
            <w:r w:rsidRPr="005902A3">
              <w:rPr>
                <w:b/>
              </w:rPr>
              <w:lastRenderedPageBreak/>
              <w:t>TA</w:t>
            </w:r>
          </w:p>
        </w:tc>
        <w:tc>
          <w:tcPr>
            <w:tcW w:w="7603" w:type="dxa"/>
          </w:tcPr>
          <w:p w14:paraId="0C4D73FB" w14:textId="77777777" w:rsidR="003607B8" w:rsidRDefault="003607B8" w:rsidP="00547EC6">
            <w:pPr>
              <w:spacing w:after="120"/>
            </w:pPr>
            <w:r>
              <w:t>Teaching Assistant</w:t>
            </w:r>
          </w:p>
        </w:tc>
      </w:tr>
      <w:tr w:rsidR="003607B8" w14:paraId="7C0BC6E0" w14:textId="77777777" w:rsidTr="00547EC6">
        <w:tc>
          <w:tcPr>
            <w:tcW w:w="1413" w:type="dxa"/>
            <w:tcBorders>
              <w:bottom w:val="nil"/>
            </w:tcBorders>
          </w:tcPr>
          <w:p w14:paraId="18BB77CB" w14:textId="77777777" w:rsidR="003607B8" w:rsidRPr="005902A3" w:rsidRDefault="003607B8" w:rsidP="00547EC6">
            <w:pPr>
              <w:spacing w:after="120"/>
              <w:rPr>
                <w:b/>
              </w:rPr>
            </w:pPr>
            <w:proofErr w:type="spellStart"/>
            <w:r w:rsidRPr="005902A3">
              <w:rPr>
                <w:b/>
              </w:rPr>
              <w:t>ToD</w:t>
            </w:r>
            <w:proofErr w:type="spellEnd"/>
          </w:p>
        </w:tc>
        <w:tc>
          <w:tcPr>
            <w:tcW w:w="7603" w:type="dxa"/>
            <w:tcBorders>
              <w:bottom w:val="nil"/>
            </w:tcBorders>
          </w:tcPr>
          <w:p w14:paraId="6AEF5E91" w14:textId="77777777" w:rsidR="003607B8" w:rsidRPr="006E3225" w:rsidRDefault="003607B8" w:rsidP="00547EC6">
            <w:pPr>
              <w:spacing w:after="120"/>
            </w:pPr>
            <w:r>
              <w:t>Teacher of the Deaf</w:t>
            </w:r>
          </w:p>
        </w:tc>
      </w:tr>
      <w:tr w:rsidR="003607B8" w14:paraId="771D9194" w14:textId="77777777" w:rsidTr="00547EC6">
        <w:tc>
          <w:tcPr>
            <w:tcW w:w="1413" w:type="dxa"/>
            <w:tcBorders>
              <w:top w:val="nil"/>
              <w:left w:val="nil"/>
              <w:bottom w:val="nil"/>
              <w:right w:val="nil"/>
            </w:tcBorders>
          </w:tcPr>
          <w:p w14:paraId="6AD97649" w14:textId="77777777" w:rsidR="003607B8" w:rsidRPr="005902A3" w:rsidRDefault="003607B8" w:rsidP="00547EC6">
            <w:pPr>
              <w:spacing w:after="120"/>
              <w:rPr>
                <w:b/>
              </w:rPr>
            </w:pPr>
            <w:r w:rsidRPr="005902A3">
              <w:rPr>
                <w:b/>
              </w:rPr>
              <w:t>VI</w:t>
            </w:r>
          </w:p>
        </w:tc>
        <w:tc>
          <w:tcPr>
            <w:tcW w:w="7603" w:type="dxa"/>
            <w:tcBorders>
              <w:top w:val="nil"/>
              <w:left w:val="nil"/>
              <w:bottom w:val="nil"/>
              <w:right w:val="nil"/>
            </w:tcBorders>
          </w:tcPr>
          <w:p w14:paraId="339BB28D" w14:textId="77777777" w:rsidR="003607B8" w:rsidRDefault="003607B8" w:rsidP="00547EC6">
            <w:pPr>
              <w:spacing w:after="120"/>
            </w:pPr>
            <w:r>
              <w:t>Vision Impairment</w:t>
            </w:r>
          </w:p>
        </w:tc>
      </w:tr>
      <w:tr w:rsidR="003607B8" w14:paraId="456A3FEF" w14:textId="77777777" w:rsidTr="00547EC6">
        <w:tc>
          <w:tcPr>
            <w:tcW w:w="1413" w:type="dxa"/>
            <w:tcBorders>
              <w:top w:val="nil"/>
              <w:left w:val="nil"/>
              <w:bottom w:val="nil"/>
              <w:right w:val="nil"/>
            </w:tcBorders>
          </w:tcPr>
          <w:p w14:paraId="4466CA1C" w14:textId="77777777" w:rsidR="003607B8" w:rsidRPr="005902A3" w:rsidRDefault="003607B8" w:rsidP="00547EC6">
            <w:pPr>
              <w:spacing w:after="120"/>
              <w:rPr>
                <w:b/>
              </w:rPr>
            </w:pPr>
            <w:r>
              <w:rPr>
                <w:b/>
              </w:rPr>
              <w:t>VINCYP</w:t>
            </w:r>
          </w:p>
        </w:tc>
        <w:tc>
          <w:tcPr>
            <w:tcW w:w="7603" w:type="dxa"/>
            <w:tcBorders>
              <w:top w:val="nil"/>
              <w:left w:val="nil"/>
              <w:bottom w:val="nil"/>
              <w:right w:val="nil"/>
            </w:tcBorders>
          </w:tcPr>
          <w:p w14:paraId="36646B04" w14:textId="77777777" w:rsidR="003607B8" w:rsidRDefault="003607B8" w:rsidP="00547EC6">
            <w:pPr>
              <w:spacing w:after="120"/>
            </w:pPr>
            <w:r>
              <w:t>Visual Impairment Network for Children and Young People</w:t>
            </w:r>
          </w:p>
        </w:tc>
      </w:tr>
    </w:tbl>
    <w:p w14:paraId="601E8FC6" w14:textId="77777777" w:rsidR="00163F7F" w:rsidRPr="00163F7F" w:rsidRDefault="00163F7F" w:rsidP="00163F7F">
      <w:pPr>
        <w:rPr>
          <w:lang w:eastAsia="en-GB"/>
        </w:rPr>
      </w:pPr>
    </w:p>
    <w:p w14:paraId="41758165" w14:textId="1A2B60AF" w:rsidR="00873579" w:rsidRDefault="00873579" w:rsidP="00873579">
      <w:pPr>
        <w:rPr>
          <w:lang w:eastAsia="en-GB"/>
        </w:rPr>
      </w:pPr>
    </w:p>
    <w:p w14:paraId="0D28CB7B" w14:textId="7112E01C" w:rsidR="00746C22" w:rsidRDefault="00746C22" w:rsidP="00873579">
      <w:pPr>
        <w:rPr>
          <w:lang w:eastAsia="en-GB"/>
        </w:rPr>
      </w:pPr>
    </w:p>
    <w:p w14:paraId="7C2C7560" w14:textId="3E2CB8E0" w:rsidR="00746C22" w:rsidRDefault="00746C22" w:rsidP="00873579">
      <w:pPr>
        <w:rPr>
          <w:lang w:eastAsia="en-GB"/>
        </w:rPr>
      </w:pPr>
    </w:p>
    <w:p w14:paraId="54BD4529" w14:textId="2A77A906" w:rsidR="00746C22" w:rsidRDefault="00746C22" w:rsidP="00873579">
      <w:pPr>
        <w:rPr>
          <w:lang w:eastAsia="en-GB"/>
        </w:rPr>
      </w:pPr>
    </w:p>
    <w:p w14:paraId="4B9C0F10" w14:textId="45ED114A" w:rsidR="00746C22" w:rsidRDefault="00746C22" w:rsidP="00873579">
      <w:pPr>
        <w:rPr>
          <w:lang w:eastAsia="en-GB"/>
        </w:rPr>
      </w:pPr>
    </w:p>
    <w:p w14:paraId="32BD0BBD" w14:textId="2707278D" w:rsidR="00746C22" w:rsidRDefault="00746C22" w:rsidP="00873579">
      <w:pPr>
        <w:rPr>
          <w:lang w:eastAsia="en-GB"/>
        </w:rPr>
      </w:pPr>
    </w:p>
    <w:p w14:paraId="5885192C" w14:textId="7E6D9709" w:rsidR="00746C22" w:rsidRDefault="00746C22" w:rsidP="00873579">
      <w:pPr>
        <w:rPr>
          <w:lang w:eastAsia="en-GB"/>
        </w:rPr>
      </w:pPr>
    </w:p>
    <w:p w14:paraId="4D481E4B" w14:textId="4B5977D6" w:rsidR="00746C22" w:rsidRDefault="00746C22" w:rsidP="00873579">
      <w:pPr>
        <w:rPr>
          <w:lang w:eastAsia="en-GB"/>
        </w:rPr>
      </w:pPr>
    </w:p>
    <w:p w14:paraId="42571F77" w14:textId="4782A13F" w:rsidR="00746C22" w:rsidRDefault="00746C22" w:rsidP="00873579">
      <w:pPr>
        <w:rPr>
          <w:lang w:eastAsia="en-GB"/>
        </w:rPr>
      </w:pPr>
    </w:p>
    <w:p w14:paraId="7970D549" w14:textId="7CB006E0" w:rsidR="00746C22" w:rsidRDefault="00746C22" w:rsidP="00873579">
      <w:pPr>
        <w:rPr>
          <w:lang w:eastAsia="en-GB"/>
        </w:rPr>
      </w:pPr>
    </w:p>
    <w:p w14:paraId="0804C31A" w14:textId="027C26CE" w:rsidR="00746C22" w:rsidRDefault="00746C22" w:rsidP="00873579">
      <w:pPr>
        <w:rPr>
          <w:lang w:eastAsia="en-GB"/>
        </w:rPr>
      </w:pPr>
    </w:p>
    <w:p w14:paraId="6FE96D46" w14:textId="38EF488A" w:rsidR="00746C22" w:rsidRDefault="00746C22" w:rsidP="00873579">
      <w:pPr>
        <w:rPr>
          <w:lang w:eastAsia="en-GB"/>
        </w:rPr>
      </w:pPr>
    </w:p>
    <w:p w14:paraId="4EBEA748" w14:textId="1107DBF3" w:rsidR="00746C22" w:rsidRDefault="00746C22" w:rsidP="00873579">
      <w:pPr>
        <w:rPr>
          <w:lang w:eastAsia="en-GB"/>
        </w:rPr>
      </w:pPr>
    </w:p>
    <w:p w14:paraId="758DA82E" w14:textId="76CF26DE" w:rsidR="00746C22" w:rsidRDefault="00746C22" w:rsidP="00873579">
      <w:pPr>
        <w:rPr>
          <w:lang w:eastAsia="en-GB"/>
        </w:rPr>
      </w:pPr>
    </w:p>
    <w:p w14:paraId="041317A6" w14:textId="544F60E0" w:rsidR="00746C22" w:rsidRDefault="00746C22" w:rsidP="00873579">
      <w:pPr>
        <w:rPr>
          <w:lang w:eastAsia="en-GB"/>
        </w:rPr>
      </w:pPr>
    </w:p>
    <w:p w14:paraId="0444503E" w14:textId="7404A5B1" w:rsidR="00746C22" w:rsidRDefault="00746C22" w:rsidP="00873579">
      <w:pPr>
        <w:rPr>
          <w:lang w:eastAsia="en-GB"/>
        </w:rPr>
      </w:pPr>
    </w:p>
    <w:p w14:paraId="71556392" w14:textId="5E864D05" w:rsidR="00746C22" w:rsidRDefault="00746C22" w:rsidP="00873579">
      <w:pPr>
        <w:rPr>
          <w:lang w:eastAsia="en-GB"/>
        </w:rPr>
      </w:pPr>
    </w:p>
    <w:p w14:paraId="614597D3" w14:textId="3B25F6DF" w:rsidR="00746C22" w:rsidRDefault="00746C22" w:rsidP="00873579">
      <w:pPr>
        <w:rPr>
          <w:lang w:eastAsia="en-GB"/>
        </w:rPr>
      </w:pPr>
    </w:p>
    <w:p w14:paraId="3A7CAE64" w14:textId="476CF915" w:rsidR="00746C22" w:rsidRDefault="00746C22" w:rsidP="00873579">
      <w:pPr>
        <w:rPr>
          <w:lang w:eastAsia="en-GB"/>
        </w:rPr>
      </w:pPr>
    </w:p>
    <w:p w14:paraId="3A9C8780" w14:textId="1AD8D573" w:rsidR="00746C22" w:rsidRDefault="00746C22" w:rsidP="00873579">
      <w:pPr>
        <w:rPr>
          <w:lang w:eastAsia="en-GB"/>
        </w:rPr>
      </w:pPr>
    </w:p>
    <w:p w14:paraId="0B815C65" w14:textId="5E4455CB" w:rsidR="00746C22" w:rsidRDefault="00746C22" w:rsidP="00873579">
      <w:pPr>
        <w:rPr>
          <w:lang w:eastAsia="en-GB"/>
        </w:rPr>
      </w:pPr>
    </w:p>
    <w:p w14:paraId="7E9C2469" w14:textId="435EF685" w:rsidR="00746C22" w:rsidRDefault="00746C22" w:rsidP="00873579">
      <w:pPr>
        <w:rPr>
          <w:lang w:eastAsia="en-GB"/>
        </w:rPr>
      </w:pPr>
    </w:p>
    <w:p w14:paraId="2D242D5A" w14:textId="05474DDA" w:rsidR="00746C22" w:rsidRDefault="00746C22" w:rsidP="00873579">
      <w:pPr>
        <w:rPr>
          <w:lang w:eastAsia="en-GB"/>
        </w:rPr>
      </w:pPr>
    </w:p>
    <w:p w14:paraId="1B8250C8" w14:textId="578E7F61" w:rsidR="00746C22" w:rsidRDefault="00746C22" w:rsidP="00873579">
      <w:pPr>
        <w:rPr>
          <w:lang w:eastAsia="en-GB"/>
        </w:rPr>
      </w:pPr>
    </w:p>
    <w:p w14:paraId="10B9900C" w14:textId="43AE24F5" w:rsidR="00746C22" w:rsidRDefault="00746C22" w:rsidP="00873579">
      <w:pPr>
        <w:rPr>
          <w:lang w:eastAsia="en-GB"/>
        </w:rPr>
      </w:pPr>
    </w:p>
    <w:p w14:paraId="0ACCB51B" w14:textId="36AD2FD2" w:rsidR="00746C22" w:rsidRDefault="00746C22" w:rsidP="00873579">
      <w:pPr>
        <w:rPr>
          <w:lang w:eastAsia="en-GB"/>
        </w:rPr>
      </w:pPr>
    </w:p>
    <w:p w14:paraId="2D105A1D" w14:textId="07E1EF71" w:rsidR="00746C22" w:rsidRDefault="00746C22" w:rsidP="00873579">
      <w:pPr>
        <w:rPr>
          <w:lang w:eastAsia="en-GB"/>
        </w:rPr>
      </w:pPr>
    </w:p>
    <w:p w14:paraId="01AB7A67" w14:textId="5AFD736B" w:rsidR="00746C22" w:rsidRDefault="00746C22" w:rsidP="00873579">
      <w:pPr>
        <w:rPr>
          <w:lang w:eastAsia="en-GB"/>
        </w:rPr>
      </w:pPr>
    </w:p>
    <w:p w14:paraId="4841BA32" w14:textId="4AA2A8C3" w:rsidR="00746C22" w:rsidRDefault="00746C22" w:rsidP="00873579">
      <w:pPr>
        <w:rPr>
          <w:lang w:eastAsia="en-GB"/>
        </w:rPr>
      </w:pPr>
    </w:p>
    <w:p w14:paraId="22366E92" w14:textId="2DBEDF92" w:rsidR="00746C22" w:rsidRDefault="00746C22" w:rsidP="00873579">
      <w:pPr>
        <w:rPr>
          <w:lang w:eastAsia="en-GB"/>
        </w:rPr>
      </w:pPr>
    </w:p>
    <w:p w14:paraId="0E939F9C" w14:textId="77777777" w:rsidR="00746C22" w:rsidRDefault="00746C22" w:rsidP="00873579">
      <w:pPr>
        <w:rPr>
          <w:lang w:eastAsia="en-GB"/>
        </w:rPr>
      </w:pPr>
    </w:p>
    <w:p w14:paraId="1EDF92CC" w14:textId="7308028B" w:rsidR="00163F7F" w:rsidRDefault="00163F7F" w:rsidP="00163F7F">
      <w:pPr>
        <w:pStyle w:val="Heading1"/>
      </w:pPr>
      <w:bookmarkStart w:id="21" w:name="_Toc103952171"/>
      <w:r>
        <w:lastRenderedPageBreak/>
        <w:t>Foreword</w:t>
      </w:r>
      <w:bookmarkEnd w:id="21"/>
    </w:p>
    <w:p w14:paraId="79D0067B" w14:textId="0A06C29E" w:rsidR="00B95923" w:rsidRDefault="00B95923" w:rsidP="00B95923">
      <w:pPr>
        <w:rPr>
          <w:rFonts w:ascii="Calibri" w:hAnsi="Calibri" w:cs="Calibri"/>
          <w:sz w:val="22"/>
          <w:szCs w:val="22"/>
          <w:lang w:eastAsia="en-GB"/>
        </w:rPr>
      </w:pPr>
      <w:r>
        <w:t>Every child has a right to an education that gives them the opportunity to maximise their potential, allow</w:t>
      </w:r>
      <w:r w:rsidR="00E03A18">
        <w:t>ing</w:t>
      </w:r>
      <w:r>
        <w:t xml:space="preserve"> them to develop as an individual.</w:t>
      </w:r>
    </w:p>
    <w:p w14:paraId="3C959D30" w14:textId="77777777" w:rsidR="00B95923" w:rsidRDefault="00B95923" w:rsidP="00B95923">
      <w:pPr>
        <w:rPr>
          <w:rFonts w:cs="Arial"/>
          <w:szCs w:val="28"/>
        </w:rPr>
      </w:pPr>
    </w:p>
    <w:p w14:paraId="52BC01B2" w14:textId="6DC5D6DE" w:rsidR="00B95923" w:rsidRDefault="00B95923" w:rsidP="00B95923">
      <w:r>
        <w:t xml:space="preserve">Over recent years, concerns over the educational attainment of Scotland’s children and young people with </w:t>
      </w:r>
      <w:r w:rsidR="00E03A18">
        <w:t xml:space="preserve">a </w:t>
      </w:r>
      <w:r>
        <w:t>vision impairment</w:t>
      </w:r>
      <w:r w:rsidR="008509B9">
        <w:t>,</w:t>
      </w:r>
      <w:r>
        <w:t xml:space="preserve"> as compared to the general school population</w:t>
      </w:r>
      <w:r w:rsidR="008509B9">
        <w:t>,</w:t>
      </w:r>
      <w:r>
        <w:t xml:space="preserve"> continue to surface.  The Third Sector, including RNIB Scotland, seeks to work with partners to keep education firmly on the agenda of decision makers.</w:t>
      </w:r>
    </w:p>
    <w:p w14:paraId="1199D98A" w14:textId="77777777" w:rsidR="00B95923" w:rsidRDefault="00B95923" w:rsidP="00B95923"/>
    <w:p w14:paraId="563B4EBC" w14:textId="43435EBB" w:rsidR="00B95923" w:rsidRDefault="00B95923" w:rsidP="00B95923">
      <w:r>
        <w:t xml:space="preserve">This report examines the provision of Qualified Teachers of children and young people with </w:t>
      </w:r>
      <w:r w:rsidR="00E03A18">
        <w:t xml:space="preserve">a </w:t>
      </w:r>
      <w:r>
        <w:t xml:space="preserve">Vision Impairment (QTVIs) in Scotland’s schools. QTVIs are </w:t>
      </w:r>
      <w:r w:rsidR="00746C22">
        <w:t xml:space="preserve">a </w:t>
      </w:r>
      <w:r>
        <w:t>fundamental</w:t>
      </w:r>
      <w:r w:rsidR="00746C22">
        <w:t xml:space="preserve"> </w:t>
      </w:r>
      <w:r>
        <w:t>part of</w:t>
      </w:r>
      <w:r w:rsidR="00746C22">
        <w:t xml:space="preserve"> the educational pathway of pupils with</w:t>
      </w:r>
      <w:r>
        <w:t xml:space="preserve"> vision impair</w:t>
      </w:r>
      <w:r w:rsidR="00746C22">
        <w:t xml:space="preserve">ment </w:t>
      </w:r>
      <w:r>
        <w:t>and must be effectively resourced.</w:t>
      </w:r>
    </w:p>
    <w:p w14:paraId="3C4866B4" w14:textId="77777777" w:rsidR="00B95923" w:rsidRDefault="00B95923" w:rsidP="00B95923"/>
    <w:p w14:paraId="4098CA27" w14:textId="41EB9C6E" w:rsidR="00B95923" w:rsidRDefault="00B95923" w:rsidP="00B95923">
      <w:r>
        <w:t xml:space="preserve">We seek to set out in one document the information provided to us by 30 of the 32 Local Authorities in Scotland to contribute to the ongoing discussion about the provision of education for </w:t>
      </w:r>
      <w:r w:rsidR="00E03A18">
        <w:t xml:space="preserve">children and young people with </w:t>
      </w:r>
      <w:r>
        <w:t>vision impair</w:t>
      </w:r>
      <w:r w:rsidR="00E03A18">
        <w:t>ment</w:t>
      </w:r>
      <w:r>
        <w:t xml:space="preserve"> in our school system. </w:t>
      </w:r>
    </w:p>
    <w:p w14:paraId="40900DF0" w14:textId="77777777" w:rsidR="00B95923" w:rsidRDefault="00B95923" w:rsidP="00B95923"/>
    <w:p w14:paraId="71738CDF" w14:textId="7BCE240D" w:rsidR="00B95923" w:rsidRDefault="00B95923" w:rsidP="00B95923">
      <w:r>
        <w:t xml:space="preserve">Although the true number is likely to be slightly higher, the report responses indicate an active service caseload of 2,686 children and young people with </w:t>
      </w:r>
      <w:r w:rsidR="00E03A18">
        <w:t xml:space="preserve">a </w:t>
      </w:r>
      <w:r>
        <w:t>vision impairment. It is the responsibility of society, and government, to ensure them the best possible educational experience.</w:t>
      </w:r>
    </w:p>
    <w:p w14:paraId="576CF2B6" w14:textId="0214ECD4" w:rsidR="00465B76" w:rsidRDefault="00465B76" w:rsidP="00B95923"/>
    <w:p w14:paraId="77CE2846" w14:textId="06DCF2BE" w:rsidR="00465B76" w:rsidRDefault="00465B76" w:rsidP="00B95923">
      <w:r>
        <w:t>We are very grateful to the following networks and organisation</w:t>
      </w:r>
      <w:r w:rsidR="008509B9">
        <w:t>s</w:t>
      </w:r>
      <w:r>
        <w:t xml:space="preserve"> for their contributions to this report: The Visual Impairment Network for Children and Young People (VINCYP), the Scottish Sensory Centre, the Scottish Association for Vision Impairment Education (SAVIE) and the University of Edinburgh, where Scotland’s Mandatory Qualification course for QTVIs is </w:t>
      </w:r>
      <w:r w:rsidR="004454D7">
        <w:t>delivered</w:t>
      </w:r>
      <w:r>
        <w:t xml:space="preserve">. </w:t>
      </w:r>
    </w:p>
    <w:p w14:paraId="78F03B4C" w14:textId="77777777" w:rsidR="00B95923" w:rsidRDefault="00B95923" w:rsidP="00B95923"/>
    <w:p w14:paraId="331FCF37" w14:textId="77777777" w:rsidR="00B95923" w:rsidRDefault="00B95923" w:rsidP="00B95923">
      <w:r>
        <w:t>James Adams</w:t>
      </w:r>
    </w:p>
    <w:p w14:paraId="665D4D84" w14:textId="77777777" w:rsidR="00B95923" w:rsidRDefault="00B95923" w:rsidP="00B95923">
      <w:r>
        <w:t>Director, RNIB Scotland</w:t>
      </w:r>
    </w:p>
    <w:p w14:paraId="3445D65C" w14:textId="49C5480B" w:rsidR="00163F7F" w:rsidRPr="00163F7F" w:rsidRDefault="00163F7F" w:rsidP="00163F7F">
      <w:pPr>
        <w:rPr>
          <w:lang w:eastAsia="en-GB"/>
        </w:rPr>
      </w:pPr>
    </w:p>
    <w:p w14:paraId="3B0A97BF" w14:textId="77777777" w:rsidR="00163F7F" w:rsidRDefault="00163F7F" w:rsidP="00873579">
      <w:pPr>
        <w:rPr>
          <w:lang w:eastAsia="en-GB"/>
        </w:rPr>
      </w:pPr>
    </w:p>
    <w:p w14:paraId="4C8A092B" w14:textId="77777777" w:rsidR="0079153D" w:rsidRDefault="0079153D" w:rsidP="00873579">
      <w:pPr>
        <w:rPr>
          <w:lang w:eastAsia="en-GB"/>
        </w:rPr>
      </w:pPr>
    </w:p>
    <w:p w14:paraId="04C7A1DF" w14:textId="77777777" w:rsidR="0079153D" w:rsidRPr="00873579" w:rsidRDefault="0079153D" w:rsidP="00873579">
      <w:pPr>
        <w:rPr>
          <w:lang w:eastAsia="en-GB"/>
        </w:rPr>
      </w:pPr>
    </w:p>
    <w:p w14:paraId="322F8D87" w14:textId="77777777" w:rsidR="003607B8" w:rsidRDefault="003607B8" w:rsidP="003607B8">
      <w:pPr>
        <w:pStyle w:val="Heading1"/>
      </w:pPr>
      <w:bookmarkStart w:id="22" w:name="_Toc103952172"/>
      <w:r>
        <w:t>1. Introduction</w:t>
      </w:r>
      <w:bookmarkEnd w:id="22"/>
    </w:p>
    <w:p w14:paraId="65553082" w14:textId="77777777" w:rsidR="003607B8" w:rsidRDefault="003607B8" w:rsidP="003607B8">
      <w:r>
        <w:t xml:space="preserve">Provision for specialist educational support for children with a vision impairment (VI) is essential to ensure they are not disadvantaged in their education. </w:t>
      </w:r>
      <w:proofErr w:type="gramStart"/>
      <w:r>
        <w:t>In order to</w:t>
      </w:r>
      <w:proofErr w:type="gramEnd"/>
      <w:r>
        <w:t xml:space="preserve"> better understand and monitor the provision of specialist education services for children with a vision impairment, RNIB Scotland has decided to run an annual survey of local authorities across Scotland. This report summarises findings from the recent Freedom of Information (FOI) survey in Spring 2022.</w:t>
      </w:r>
    </w:p>
    <w:p w14:paraId="1032DB79" w14:textId="77777777" w:rsidR="003607B8" w:rsidRDefault="003607B8" w:rsidP="003607B8"/>
    <w:p w14:paraId="0A1A682F" w14:textId="65592123" w:rsidR="003607B8" w:rsidRDefault="003607B8" w:rsidP="003607B8">
      <w:r w:rsidRPr="007D755B">
        <w:t xml:space="preserve">To ensure children and young people with VI have equality in education, </w:t>
      </w:r>
      <w:r>
        <w:t>provision needs</w:t>
      </w:r>
      <w:r w:rsidRPr="007D755B">
        <w:t xml:space="preserve"> to be </w:t>
      </w:r>
      <w:r>
        <w:t xml:space="preserve">delivered </w:t>
      </w:r>
      <w:r w:rsidRPr="007D755B">
        <w:t>more consistent</w:t>
      </w:r>
      <w:r>
        <w:t>ly</w:t>
      </w:r>
      <w:r w:rsidR="008509B9">
        <w:t>,</w:t>
      </w:r>
      <w:r w:rsidRPr="007D755B">
        <w:t xml:space="preserve"> </w:t>
      </w:r>
      <w:r>
        <w:t xml:space="preserve">including through </w:t>
      </w:r>
      <w:r w:rsidRPr="007D755B">
        <w:t>adequate and protected funding.</w:t>
      </w:r>
    </w:p>
    <w:p w14:paraId="321B8188" w14:textId="77777777" w:rsidR="003607B8" w:rsidRDefault="003607B8" w:rsidP="003607B8"/>
    <w:p w14:paraId="6445098F" w14:textId="77777777" w:rsidR="003607B8" w:rsidRDefault="003607B8" w:rsidP="003607B8"/>
    <w:p w14:paraId="037576E3" w14:textId="6054E700" w:rsidR="004D37EC" w:rsidRPr="004D37EC" w:rsidRDefault="003607B8" w:rsidP="004D37EC">
      <w:pPr>
        <w:pStyle w:val="Heading1"/>
      </w:pPr>
      <w:bookmarkStart w:id="23" w:name="_Toc103952173"/>
      <w:r w:rsidRPr="00B72C20">
        <w:t xml:space="preserve">2. </w:t>
      </w:r>
      <w:r>
        <w:t>Summary of</w:t>
      </w:r>
      <w:r w:rsidRPr="00B72C20">
        <w:t xml:space="preserve"> findings</w:t>
      </w:r>
      <w:bookmarkEnd w:id="23"/>
    </w:p>
    <w:p w14:paraId="51B24EE0" w14:textId="506B8279" w:rsidR="00840EC3" w:rsidRPr="00606F8C" w:rsidRDefault="0027551F" w:rsidP="00606F8C">
      <w:pPr>
        <w:pStyle w:val="ListParagraph"/>
        <w:numPr>
          <w:ilvl w:val="0"/>
          <w:numId w:val="13"/>
        </w:numPr>
      </w:pPr>
      <w:r w:rsidRPr="00606F8C">
        <w:t xml:space="preserve">We received replies from </w:t>
      </w:r>
      <w:r w:rsidR="00662061" w:rsidRPr="00606F8C">
        <w:t>94%</w:t>
      </w:r>
      <w:r w:rsidRPr="00606F8C">
        <w:t xml:space="preserve"> </w:t>
      </w:r>
      <w:r w:rsidR="00662061" w:rsidRPr="00606F8C">
        <w:t>(30/32)</w:t>
      </w:r>
      <w:r w:rsidR="00163F7F" w:rsidRPr="00606F8C">
        <w:t xml:space="preserve"> </w:t>
      </w:r>
      <w:r w:rsidR="00DA3DF5" w:rsidRPr="00606F8C">
        <w:t xml:space="preserve">of Scotland’s </w:t>
      </w:r>
      <w:r w:rsidR="00E03A18" w:rsidRPr="00606F8C">
        <w:t>l</w:t>
      </w:r>
      <w:r w:rsidR="00DA3DF5" w:rsidRPr="00606F8C">
        <w:t xml:space="preserve">ocal </w:t>
      </w:r>
      <w:r w:rsidR="00E03A18" w:rsidRPr="00606F8C">
        <w:t>a</w:t>
      </w:r>
      <w:r w:rsidR="00DA3DF5" w:rsidRPr="00606F8C">
        <w:t>uthorities</w:t>
      </w:r>
      <w:r w:rsidR="00840EC3" w:rsidRPr="00606F8C">
        <w:t>.</w:t>
      </w:r>
    </w:p>
    <w:p w14:paraId="3751CD4A" w14:textId="344D199B" w:rsidR="004D37EC" w:rsidRPr="00606F8C" w:rsidRDefault="00840EC3" w:rsidP="00606F8C">
      <w:pPr>
        <w:pStyle w:val="ListParagraph"/>
        <w:numPr>
          <w:ilvl w:val="0"/>
          <w:numId w:val="13"/>
        </w:numPr>
      </w:pPr>
      <w:r w:rsidRPr="00606F8C">
        <w:t>From responses received</w:t>
      </w:r>
      <w:r w:rsidR="0056301E" w:rsidRPr="00606F8C">
        <w:t xml:space="preserve">, </w:t>
      </w:r>
      <w:r w:rsidRPr="00606F8C">
        <w:t xml:space="preserve">the total number of children and young </w:t>
      </w:r>
      <w:r w:rsidR="00606F8C" w:rsidRPr="00606F8C">
        <w:t xml:space="preserve">  </w:t>
      </w:r>
      <w:r w:rsidRPr="00606F8C">
        <w:t>people with</w:t>
      </w:r>
      <w:r w:rsidR="00E03A18" w:rsidRPr="00606F8C">
        <w:t xml:space="preserve"> a </w:t>
      </w:r>
      <w:r w:rsidRPr="00606F8C">
        <w:t>vision impairment on active service caseload</w:t>
      </w:r>
      <w:r w:rsidR="00E03A18" w:rsidRPr="00606F8C">
        <w:t>s</w:t>
      </w:r>
      <w:r w:rsidRPr="00606F8C">
        <w:t xml:space="preserve"> across Scotland is 2,686. </w:t>
      </w:r>
    </w:p>
    <w:p w14:paraId="0B897F13" w14:textId="5AD48458" w:rsidR="005D0E22" w:rsidRPr="00606F8C" w:rsidRDefault="00662061" w:rsidP="00606F8C">
      <w:pPr>
        <w:pStyle w:val="ListParagraph"/>
        <w:numPr>
          <w:ilvl w:val="0"/>
          <w:numId w:val="13"/>
        </w:numPr>
      </w:pPr>
      <w:r w:rsidRPr="00606F8C">
        <w:t xml:space="preserve">A variety of eligibility criteria for allocating support are used across the </w:t>
      </w:r>
      <w:r w:rsidR="005D0E22" w:rsidRPr="00606F8C">
        <w:t>30</w:t>
      </w:r>
      <w:r w:rsidR="00606F8C" w:rsidRPr="00606F8C">
        <w:t xml:space="preserve"> </w:t>
      </w:r>
      <w:r w:rsidR="005D0E22" w:rsidRPr="00606F8C">
        <w:t xml:space="preserve">LAs including VINCYP, </w:t>
      </w:r>
      <w:proofErr w:type="spellStart"/>
      <w:r w:rsidR="005D0E22" w:rsidRPr="00606F8C">
        <w:t>NatSIP</w:t>
      </w:r>
      <w:proofErr w:type="spellEnd"/>
      <w:r w:rsidR="005D0E22" w:rsidRPr="00606F8C">
        <w:t xml:space="preserve">, child’s individual needs or a combination of frameworks. </w:t>
      </w:r>
    </w:p>
    <w:p w14:paraId="1C1F0FE9" w14:textId="7354A398" w:rsidR="006A219B" w:rsidRPr="00606F8C" w:rsidRDefault="006A219B" w:rsidP="00606F8C">
      <w:pPr>
        <w:pStyle w:val="ListParagraph"/>
        <w:numPr>
          <w:ilvl w:val="0"/>
          <w:numId w:val="13"/>
        </w:numPr>
      </w:pPr>
      <w:r w:rsidRPr="00606F8C">
        <w:t xml:space="preserve">Of </w:t>
      </w:r>
      <w:r w:rsidR="00F11054" w:rsidRPr="00606F8C">
        <w:t xml:space="preserve">the </w:t>
      </w:r>
      <w:r w:rsidRPr="00606F8C">
        <w:t>30 LAs who responded, 87% employ Qualified Teacher</w:t>
      </w:r>
      <w:r w:rsidR="00E03A18" w:rsidRPr="00606F8C">
        <w:t>s</w:t>
      </w:r>
      <w:r w:rsidRPr="00606F8C">
        <w:t xml:space="preserve"> of Children </w:t>
      </w:r>
      <w:r w:rsidR="008509B9" w:rsidRPr="00606F8C">
        <w:t>and</w:t>
      </w:r>
      <w:r w:rsidRPr="00606F8C">
        <w:t xml:space="preserve"> Young People with a Vision Impairment (QTVI</w:t>
      </w:r>
      <w:r w:rsidR="00E03A18" w:rsidRPr="00606F8C">
        <w:t>s</w:t>
      </w:r>
      <w:r w:rsidRPr="00606F8C">
        <w:t xml:space="preserve">) directly, 10% said QTVIs were delivered by an external organisation and 3% of QTVIs are shared with another </w:t>
      </w:r>
      <w:r w:rsidR="00E03A18" w:rsidRPr="00606F8C">
        <w:t>l</w:t>
      </w:r>
      <w:r w:rsidRPr="00606F8C">
        <w:t xml:space="preserve">ocal </w:t>
      </w:r>
      <w:r w:rsidR="00E03A18" w:rsidRPr="00606F8C">
        <w:t>a</w:t>
      </w:r>
      <w:r w:rsidRPr="00606F8C">
        <w:t xml:space="preserve">uthority. </w:t>
      </w:r>
    </w:p>
    <w:p w14:paraId="6E3FB2FF" w14:textId="0D37FBD6" w:rsidR="000E6BB4" w:rsidRPr="00606F8C" w:rsidRDefault="000E6BB4" w:rsidP="00606F8C">
      <w:pPr>
        <w:pStyle w:val="ListParagraph"/>
        <w:numPr>
          <w:ilvl w:val="0"/>
          <w:numId w:val="13"/>
        </w:numPr>
      </w:pPr>
      <w:r w:rsidRPr="00606F8C">
        <w:t>One third of responding LAs employ a pupil support assistant (PSA) to work specifically with CYP with VI</w:t>
      </w:r>
      <w:r w:rsidR="00770C1B" w:rsidRPr="00606F8C">
        <w:t xml:space="preserve">. </w:t>
      </w:r>
    </w:p>
    <w:p w14:paraId="03152848" w14:textId="2D3FF5A6" w:rsidR="006A219B" w:rsidRPr="00606F8C" w:rsidRDefault="00850FD5" w:rsidP="00606F8C">
      <w:pPr>
        <w:pStyle w:val="ListParagraph"/>
        <w:numPr>
          <w:ilvl w:val="0"/>
          <w:numId w:val="13"/>
        </w:numPr>
      </w:pPr>
      <w:r w:rsidRPr="00606F8C">
        <w:t>There are</w:t>
      </w:r>
      <w:r w:rsidR="00BD7B3F" w:rsidRPr="00606F8C">
        <w:t xml:space="preserve"> </w:t>
      </w:r>
      <w:r w:rsidRPr="00606F8C">
        <w:t>554 pupils</w:t>
      </w:r>
      <w:r w:rsidR="00510B02" w:rsidRPr="00606F8C">
        <w:t xml:space="preserve"> across </w:t>
      </w:r>
      <w:r w:rsidR="00BD7B3F" w:rsidRPr="00606F8C">
        <w:t>30 local authorities</w:t>
      </w:r>
      <w:r w:rsidRPr="00606F8C">
        <w:t xml:space="preserve"> currently on active habilitatio</w:t>
      </w:r>
      <w:r w:rsidR="00013B24" w:rsidRPr="00606F8C">
        <w:t xml:space="preserve">n </w:t>
      </w:r>
      <w:r w:rsidRPr="00606F8C">
        <w:t>caseloads</w:t>
      </w:r>
      <w:r w:rsidR="00BD7B3F" w:rsidRPr="00606F8C">
        <w:t>.</w:t>
      </w:r>
    </w:p>
    <w:p w14:paraId="126FCBF2" w14:textId="6187334C" w:rsidR="002404CA" w:rsidRPr="00606F8C" w:rsidRDefault="002404CA" w:rsidP="00606F8C">
      <w:pPr>
        <w:pStyle w:val="ListParagraph"/>
        <w:numPr>
          <w:ilvl w:val="0"/>
          <w:numId w:val="13"/>
        </w:numPr>
      </w:pPr>
      <w:r w:rsidRPr="00606F8C">
        <w:t xml:space="preserve">10% of local authorities </w:t>
      </w:r>
      <w:r w:rsidR="00AF1FAA" w:rsidRPr="00606F8C">
        <w:t xml:space="preserve">do </w:t>
      </w:r>
      <w:r w:rsidRPr="00606F8C">
        <w:t>no</w:t>
      </w:r>
      <w:r w:rsidR="00AF1FAA" w:rsidRPr="00606F8C">
        <w:t>t deliver</w:t>
      </w:r>
      <w:r w:rsidRPr="00606F8C">
        <w:t xml:space="preserve"> habilitation services; these local authorities support 399 children and young people with vision impairment. </w:t>
      </w:r>
    </w:p>
    <w:p w14:paraId="511AF682" w14:textId="77777777" w:rsidR="002404CA" w:rsidRPr="00223201" w:rsidRDefault="002404CA" w:rsidP="002404CA">
      <w:pPr>
        <w:ind w:left="360"/>
        <w:jc w:val="both"/>
      </w:pPr>
    </w:p>
    <w:p w14:paraId="45B98ECF" w14:textId="77777777" w:rsidR="003607B8" w:rsidRDefault="003607B8" w:rsidP="003607B8">
      <w:pPr>
        <w:pStyle w:val="ListBullet"/>
        <w:numPr>
          <w:ilvl w:val="0"/>
          <w:numId w:val="0"/>
        </w:numPr>
      </w:pPr>
    </w:p>
    <w:p w14:paraId="7AA871AA" w14:textId="77777777" w:rsidR="003607B8" w:rsidRDefault="003607B8" w:rsidP="003607B8">
      <w:pPr>
        <w:pStyle w:val="Heading1"/>
      </w:pPr>
      <w:bookmarkStart w:id="24" w:name="_Toc103952174"/>
      <w:r w:rsidRPr="00E15EF8">
        <w:t>3. Method</w:t>
      </w:r>
      <w:bookmarkEnd w:id="24"/>
    </w:p>
    <w:p w14:paraId="2B1D7820" w14:textId="4D8131AC" w:rsidR="003607B8" w:rsidRDefault="003607B8" w:rsidP="003607B8">
      <w:r>
        <w:t xml:space="preserve">In February 2022, RNIB Scotland contacted </w:t>
      </w:r>
      <w:r w:rsidR="007445D1">
        <w:t>the 32</w:t>
      </w:r>
      <w:r>
        <w:t xml:space="preserve"> local authorities in Scotland, asking a range of questions about current and future education provision for children and young people with vision impairment. </w:t>
      </w:r>
    </w:p>
    <w:p w14:paraId="249636B9" w14:textId="77777777" w:rsidR="003607B8" w:rsidRDefault="003607B8" w:rsidP="003607B8"/>
    <w:p w14:paraId="31BE1B8B" w14:textId="77777777" w:rsidR="003607B8" w:rsidRDefault="003607B8" w:rsidP="003607B8">
      <w:r>
        <w:t xml:space="preserve">30 of the 32 local authorities in Scotland responded or had a response provided from a consortium, giving an overall response rate of 94%. </w:t>
      </w:r>
    </w:p>
    <w:p w14:paraId="65337025" w14:textId="77777777" w:rsidR="003607B8" w:rsidRDefault="003607B8" w:rsidP="003607B8"/>
    <w:p w14:paraId="016234AE" w14:textId="77777777" w:rsidR="003607B8" w:rsidRDefault="003607B8" w:rsidP="003607B8"/>
    <w:p w14:paraId="2F8BA6A4" w14:textId="77777777" w:rsidR="003607B8" w:rsidRPr="007244A6" w:rsidRDefault="003607B8" w:rsidP="003607B8">
      <w:pPr>
        <w:pStyle w:val="Heading1"/>
      </w:pPr>
      <w:bookmarkStart w:id="25" w:name="_Toc103952175"/>
      <w:r w:rsidRPr="00E15EF8">
        <w:t>4. Findings</w:t>
      </w:r>
      <w:bookmarkEnd w:id="25"/>
    </w:p>
    <w:p w14:paraId="1B84BA99" w14:textId="77777777" w:rsidR="003607B8" w:rsidRDefault="003607B8" w:rsidP="003607B8">
      <w:pPr>
        <w:pStyle w:val="Heading2"/>
      </w:pPr>
      <w:bookmarkStart w:id="26" w:name="_Toc103952176"/>
      <w:r w:rsidRPr="525DA021">
        <w:t>4.1 Children and young people supported by local authority services</w:t>
      </w:r>
      <w:bookmarkEnd w:id="26"/>
    </w:p>
    <w:p w14:paraId="4DF73677" w14:textId="77777777" w:rsidR="003607B8" w:rsidRPr="00E15EF8" w:rsidRDefault="003607B8" w:rsidP="003607B8">
      <w:pPr>
        <w:pStyle w:val="Heading3"/>
      </w:pPr>
      <w:r w:rsidRPr="00E15EF8">
        <w:t>Caseload</w:t>
      </w:r>
    </w:p>
    <w:p w14:paraId="1FF1623D" w14:textId="44D2C897" w:rsidR="003607B8" w:rsidRDefault="003607B8" w:rsidP="003607B8">
      <w:r w:rsidRPr="0061253C">
        <w:t xml:space="preserve">The total number of </w:t>
      </w:r>
      <w:r>
        <w:t>children and young people</w:t>
      </w:r>
      <w:r w:rsidRPr="0061253C">
        <w:t xml:space="preserve"> </w:t>
      </w:r>
      <w:r>
        <w:t>with</w:t>
      </w:r>
      <w:r w:rsidRPr="0061253C">
        <w:t xml:space="preserve"> vision impairment </w:t>
      </w:r>
      <w:r>
        <w:t xml:space="preserve">on active service </w:t>
      </w:r>
      <w:r w:rsidRPr="0061253C">
        <w:t>caseload</w:t>
      </w:r>
      <w:r>
        <w:t xml:space="preserve"> is 2,686. However, the true number is likely to be slightly higher as three local authorities did not provide a response to this question. Of those on active caseload</w:t>
      </w:r>
      <w:r w:rsidR="007445D1">
        <w:t>,</w:t>
      </w:r>
      <w:r>
        <w:t xml:space="preserve"> 81% attend mainstream schools and 19% attend a special school.</w:t>
      </w:r>
    </w:p>
    <w:p w14:paraId="0A5288A4" w14:textId="77777777" w:rsidR="003607B8" w:rsidRPr="00E00681" w:rsidRDefault="003607B8" w:rsidP="003607B8">
      <w:pPr>
        <w:rPr>
          <w:i/>
          <w:iCs/>
        </w:rPr>
      </w:pPr>
    </w:p>
    <w:p w14:paraId="1B50C430" w14:textId="12536E9F" w:rsidR="003607B8" w:rsidRDefault="003607B8" w:rsidP="003607B8">
      <w:r>
        <w:t xml:space="preserve">The table </w:t>
      </w:r>
      <w:r w:rsidR="007445D1">
        <w:t xml:space="preserve">below </w:t>
      </w:r>
      <w:r>
        <w:t>illustrates the breakdown of CYP on active caseload by age group. Just under a third of children and young people sit within P4 – P7, followed by S1 – S3.</w:t>
      </w:r>
    </w:p>
    <w:p w14:paraId="0483194B" w14:textId="77777777" w:rsidR="003607B8" w:rsidRDefault="003607B8" w:rsidP="003607B8"/>
    <w:p w14:paraId="346DFA09" w14:textId="77777777" w:rsidR="003607B8" w:rsidRPr="00B456CF" w:rsidRDefault="003607B8" w:rsidP="003607B8">
      <w:pPr>
        <w:rPr>
          <w:b/>
        </w:rPr>
      </w:pPr>
      <w:r w:rsidRPr="00B456CF">
        <w:rPr>
          <w:b/>
        </w:rPr>
        <w:t xml:space="preserve">Table: Proportion </w:t>
      </w:r>
      <w:r>
        <w:rPr>
          <w:b/>
        </w:rPr>
        <w:t xml:space="preserve">of CYP </w:t>
      </w:r>
      <w:r w:rsidRPr="00B456CF">
        <w:rPr>
          <w:b/>
        </w:rPr>
        <w:t xml:space="preserve">on </w:t>
      </w:r>
      <w:r>
        <w:rPr>
          <w:b/>
        </w:rPr>
        <w:t xml:space="preserve">active </w:t>
      </w:r>
      <w:r w:rsidRPr="00B456CF">
        <w:rPr>
          <w:b/>
        </w:rPr>
        <w:t>caseload by group</w:t>
      </w:r>
    </w:p>
    <w:tbl>
      <w:tblPr>
        <w:tblStyle w:val="TableGrid"/>
        <w:tblW w:w="0" w:type="auto"/>
        <w:tblLook w:val="04A0" w:firstRow="1" w:lastRow="0" w:firstColumn="1" w:lastColumn="0" w:noHBand="0" w:noVBand="1"/>
      </w:tblPr>
      <w:tblGrid>
        <w:gridCol w:w="3256"/>
        <w:gridCol w:w="2976"/>
      </w:tblGrid>
      <w:tr w:rsidR="003607B8" w:rsidRPr="008B507C" w14:paraId="31C600A8" w14:textId="77777777" w:rsidTr="00547EC6">
        <w:trPr>
          <w:trHeight w:val="290"/>
        </w:trPr>
        <w:tc>
          <w:tcPr>
            <w:tcW w:w="3256" w:type="dxa"/>
            <w:noWrap/>
            <w:hideMark/>
          </w:tcPr>
          <w:p w14:paraId="7A1DF00D" w14:textId="77777777" w:rsidR="003607B8" w:rsidRPr="008B507C" w:rsidRDefault="003607B8" w:rsidP="00547EC6">
            <w:r>
              <w:t>Age Group</w:t>
            </w:r>
          </w:p>
        </w:tc>
        <w:tc>
          <w:tcPr>
            <w:tcW w:w="2976" w:type="dxa"/>
            <w:noWrap/>
            <w:hideMark/>
          </w:tcPr>
          <w:p w14:paraId="698F192F" w14:textId="77777777" w:rsidR="003607B8" w:rsidRPr="008B507C" w:rsidRDefault="003607B8" w:rsidP="00547EC6">
            <w:r>
              <w:t>Proportion on active c</w:t>
            </w:r>
            <w:r w:rsidRPr="008B507C">
              <w:t>aseload</w:t>
            </w:r>
          </w:p>
        </w:tc>
      </w:tr>
      <w:tr w:rsidR="003607B8" w:rsidRPr="008B507C" w14:paraId="16FC1F6C" w14:textId="77777777" w:rsidTr="00547EC6">
        <w:trPr>
          <w:trHeight w:val="290"/>
        </w:trPr>
        <w:tc>
          <w:tcPr>
            <w:tcW w:w="3256" w:type="dxa"/>
            <w:noWrap/>
            <w:hideMark/>
          </w:tcPr>
          <w:p w14:paraId="14140C0B" w14:textId="77777777" w:rsidR="003607B8" w:rsidRPr="008B507C" w:rsidRDefault="003607B8" w:rsidP="00547EC6">
            <w:r>
              <w:t>0 – 3 years</w:t>
            </w:r>
          </w:p>
        </w:tc>
        <w:tc>
          <w:tcPr>
            <w:tcW w:w="2976" w:type="dxa"/>
            <w:noWrap/>
            <w:hideMark/>
          </w:tcPr>
          <w:p w14:paraId="601EC1C2" w14:textId="77777777" w:rsidR="003607B8" w:rsidRPr="00B362C4" w:rsidRDefault="003607B8" w:rsidP="00547EC6">
            <w:pPr>
              <w:jc w:val="center"/>
            </w:pPr>
            <w:r>
              <w:t>6%</w:t>
            </w:r>
          </w:p>
        </w:tc>
      </w:tr>
      <w:tr w:rsidR="003607B8" w:rsidRPr="008B507C" w14:paraId="77141DFF" w14:textId="77777777" w:rsidTr="00547EC6">
        <w:trPr>
          <w:trHeight w:val="290"/>
        </w:trPr>
        <w:tc>
          <w:tcPr>
            <w:tcW w:w="3256" w:type="dxa"/>
            <w:noWrap/>
            <w:hideMark/>
          </w:tcPr>
          <w:p w14:paraId="614E33F2" w14:textId="77777777" w:rsidR="003607B8" w:rsidRPr="008B507C" w:rsidRDefault="003607B8" w:rsidP="00547EC6">
            <w:r>
              <w:t>P1 – P3</w:t>
            </w:r>
          </w:p>
        </w:tc>
        <w:tc>
          <w:tcPr>
            <w:tcW w:w="2976" w:type="dxa"/>
            <w:noWrap/>
            <w:hideMark/>
          </w:tcPr>
          <w:p w14:paraId="102BB038" w14:textId="77777777" w:rsidR="003607B8" w:rsidRPr="00B362C4" w:rsidRDefault="003607B8" w:rsidP="00547EC6">
            <w:pPr>
              <w:jc w:val="center"/>
            </w:pPr>
            <w:r>
              <w:t>16%</w:t>
            </w:r>
          </w:p>
        </w:tc>
      </w:tr>
      <w:tr w:rsidR="003607B8" w:rsidRPr="008B507C" w14:paraId="6A05EE76" w14:textId="77777777" w:rsidTr="00547EC6">
        <w:trPr>
          <w:trHeight w:val="290"/>
        </w:trPr>
        <w:tc>
          <w:tcPr>
            <w:tcW w:w="3256" w:type="dxa"/>
            <w:noWrap/>
            <w:hideMark/>
          </w:tcPr>
          <w:p w14:paraId="59CFAEAE" w14:textId="77777777" w:rsidR="003607B8" w:rsidRPr="008B507C" w:rsidRDefault="003607B8" w:rsidP="00547EC6">
            <w:r>
              <w:t>P4 – P7</w:t>
            </w:r>
          </w:p>
        </w:tc>
        <w:tc>
          <w:tcPr>
            <w:tcW w:w="2976" w:type="dxa"/>
            <w:noWrap/>
            <w:hideMark/>
          </w:tcPr>
          <w:p w14:paraId="0F6D2A8C" w14:textId="77777777" w:rsidR="003607B8" w:rsidRPr="00B362C4" w:rsidRDefault="003607B8" w:rsidP="00547EC6">
            <w:pPr>
              <w:jc w:val="center"/>
            </w:pPr>
            <w:r>
              <w:t>23%</w:t>
            </w:r>
          </w:p>
        </w:tc>
      </w:tr>
      <w:tr w:rsidR="003607B8" w:rsidRPr="008B507C" w14:paraId="587C4836" w14:textId="77777777" w:rsidTr="00547EC6">
        <w:trPr>
          <w:trHeight w:val="290"/>
        </w:trPr>
        <w:tc>
          <w:tcPr>
            <w:tcW w:w="3256" w:type="dxa"/>
            <w:noWrap/>
            <w:hideMark/>
          </w:tcPr>
          <w:p w14:paraId="009A0827" w14:textId="77777777" w:rsidR="003607B8" w:rsidRPr="008B507C" w:rsidRDefault="003607B8" w:rsidP="00547EC6">
            <w:r>
              <w:t>S1 – S3</w:t>
            </w:r>
          </w:p>
        </w:tc>
        <w:tc>
          <w:tcPr>
            <w:tcW w:w="2976" w:type="dxa"/>
            <w:noWrap/>
            <w:hideMark/>
          </w:tcPr>
          <w:p w14:paraId="30376722" w14:textId="77777777" w:rsidR="003607B8" w:rsidRDefault="003607B8" w:rsidP="00547EC6">
            <w:pPr>
              <w:jc w:val="center"/>
            </w:pPr>
            <w:r>
              <w:t>21%</w:t>
            </w:r>
          </w:p>
        </w:tc>
      </w:tr>
      <w:tr w:rsidR="003607B8" w:rsidRPr="008B507C" w14:paraId="588BAB10" w14:textId="77777777" w:rsidTr="00547EC6">
        <w:trPr>
          <w:trHeight w:val="290"/>
        </w:trPr>
        <w:tc>
          <w:tcPr>
            <w:tcW w:w="3256" w:type="dxa"/>
            <w:noWrap/>
          </w:tcPr>
          <w:p w14:paraId="32EB2230" w14:textId="77777777" w:rsidR="003607B8" w:rsidRDefault="003607B8" w:rsidP="00547EC6">
            <w:r>
              <w:t>S4 – S6</w:t>
            </w:r>
          </w:p>
        </w:tc>
        <w:tc>
          <w:tcPr>
            <w:tcW w:w="2976" w:type="dxa"/>
            <w:noWrap/>
          </w:tcPr>
          <w:p w14:paraId="018B5013" w14:textId="77777777" w:rsidR="003607B8" w:rsidRDefault="003607B8" w:rsidP="00547EC6">
            <w:pPr>
              <w:jc w:val="center"/>
            </w:pPr>
            <w:r>
              <w:t>17%</w:t>
            </w:r>
          </w:p>
        </w:tc>
      </w:tr>
    </w:tbl>
    <w:p w14:paraId="012E6D91" w14:textId="77777777" w:rsidR="003607B8" w:rsidRDefault="003607B8" w:rsidP="003607B8"/>
    <w:p w14:paraId="6D2E1011" w14:textId="0D2D49DB" w:rsidR="003607B8" w:rsidRDefault="003607B8" w:rsidP="003607B8">
      <w:r>
        <w:lastRenderedPageBreak/>
        <w:t xml:space="preserve">The number of children and young people known to </w:t>
      </w:r>
      <w:r w:rsidR="008509B9">
        <w:t xml:space="preserve">the </w:t>
      </w:r>
      <w:r>
        <w:t xml:space="preserve">service but not actively receiving support is an additional 243. </w:t>
      </w:r>
      <w:proofErr w:type="gramStart"/>
      <w:r>
        <w:t>The majority of</w:t>
      </w:r>
      <w:proofErr w:type="gramEnd"/>
      <w:r>
        <w:t xml:space="preserve"> these sit under the advice on request category (44%</w:t>
      </w:r>
      <w:r w:rsidR="0092647A">
        <w:t>); the</w:t>
      </w:r>
      <w:r>
        <w:t xml:space="preserve"> rest </w:t>
      </w:r>
      <w:r w:rsidR="0092647A">
        <w:t>are educated</w:t>
      </w:r>
      <w:r>
        <w:t xml:space="preserve"> at a specialist school (43%), home educated </w:t>
      </w:r>
      <w:r w:rsidR="008509B9">
        <w:t>(7</w:t>
      </w:r>
      <w:r w:rsidR="0092647A">
        <w:t>%),</w:t>
      </w:r>
      <w:r w:rsidR="008509B9">
        <w:t xml:space="preserve"> or</w:t>
      </w:r>
      <w:r>
        <w:t xml:space="preserve"> out of local authority area placements</w:t>
      </w:r>
      <w:r w:rsidR="008509B9">
        <w:t xml:space="preserve"> (4%)</w:t>
      </w:r>
      <w:r>
        <w:t xml:space="preserve">. </w:t>
      </w:r>
    </w:p>
    <w:p w14:paraId="1B2B4574" w14:textId="77777777" w:rsidR="003607B8" w:rsidRDefault="003607B8" w:rsidP="003607B8"/>
    <w:p w14:paraId="66143A19" w14:textId="77777777" w:rsidR="003607B8" w:rsidRDefault="003607B8" w:rsidP="003607B8">
      <w:pPr>
        <w:pStyle w:val="Heading3"/>
      </w:pPr>
      <w:r w:rsidRPr="00E15EF8">
        <w:t>Braille users</w:t>
      </w:r>
    </w:p>
    <w:p w14:paraId="3105AB72" w14:textId="71A0EE3D" w:rsidR="003607B8" w:rsidRDefault="003607B8" w:rsidP="003607B8">
      <w:r>
        <w:t xml:space="preserve">The total number of children and young people supported across the 30 local authorities that use braille as their sole or main literacy medium is 33. If we </w:t>
      </w:r>
      <w:proofErr w:type="gramStart"/>
      <w:r>
        <w:t>take into account</w:t>
      </w:r>
      <w:proofErr w:type="gramEnd"/>
      <w:r>
        <w:t xml:space="preserve"> children and young people who are dual medium users, </w:t>
      </w:r>
      <w:r w:rsidR="007445D1">
        <w:t>using</w:t>
      </w:r>
      <w:r>
        <w:t xml:space="preserve"> a combination of braille and large print, this number increases to 52.</w:t>
      </w:r>
    </w:p>
    <w:p w14:paraId="418F1080" w14:textId="77777777" w:rsidR="003607B8" w:rsidRDefault="003607B8" w:rsidP="003607B8"/>
    <w:p w14:paraId="2878E168" w14:textId="1E4B112D" w:rsidR="003607B8" w:rsidRDefault="003607B8" w:rsidP="003607B8">
      <w:r>
        <w:t>Three local authorities specified having less than five CYP</w:t>
      </w:r>
      <w:r w:rsidR="007445D1">
        <w:t xml:space="preserve"> using braille</w:t>
      </w:r>
      <w:r>
        <w:t>, wh</w:t>
      </w:r>
      <w:r w:rsidR="007445D1">
        <w:t>ilst</w:t>
      </w:r>
      <w:r>
        <w:t xml:space="preserve"> another local authority stated they did not hold this information. </w:t>
      </w:r>
    </w:p>
    <w:p w14:paraId="406C23A1" w14:textId="77777777" w:rsidR="003607B8" w:rsidRDefault="003607B8" w:rsidP="003607B8"/>
    <w:p w14:paraId="0F9FB0F5" w14:textId="7E4104FA" w:rsidR="003607B8" w:rsidRDefault="003607B8" w:rsidP="003607B8">
      <w:r>
        <w:t>It is difficult to get a true picture of the number due to the low number of authorities providing figures</w:t>
      </w:r>
      <w:r w:rsidR="0092647A">
        <w:t>;</w:t>
      </w:r>
      <w:r>
        <w:t xml:space="preserve"> particularly where LAs have answered ‘less than 5’ or ‘less than 10’, these have not been included in the counts.  It is therefore reasonable to conclude that the true number of children with VI in Scotland using braille as sole or dual medium is likely to be higher than even the number quoted here, 52. </w:t>
      </w:r>
    </w:p>
    <w:p w14:paraId="7C5455D5" w14:textId="77777777" w:rsidR="003607B8" w:rsidRDefault="003607B8" w:rsidP="003607B8"/>
    <w:p w14:paraId="4A6DBA60" w14:textId="77777777" w:rsidR="003607B8" w:rsidRPr="00E15EF8" w:rsidRDefault="003607B8" w:rsidP="003607B8">
      <w:pPr>
        <w:pStyle w:val="Heading3"/>
      </w:pPr>
      <w:r w:rsidRPr="00E15EF8">
        <w:t xml:space="preserve">Criteria for </w:t>
      </w:r>
      <w:r>
        <w:t xml:space="preserve">allocating </w:t>
      </w:r>
      <w:r w:rsidRPr="00E15EF8">
        <w:t>support levels</w:t>
      </w:r>
    </w:p>
    <w:p w14:paraId="6E93C139" w14:textId="64AED586" w:rsidR="003607B8" w:rsidRDefault="003607B8" w:rsidP="003607B8">
      <w:r>
        <w:t xml:space="preserve">When asked about the criteria used for allocating levels of support, local authorities were able to select multiple answers. Of 30 authorities, a third (33%) said they used </w:t>
      </w:r>
      <w:r w:rsidR="0092647A">
        <w:t>the</w:t>
      </w:r>
      <w:r>
        <w:t xml:space="preserve"> VINCYP framework</w:t>
      </w:r>
      <w:r w:rsidR="0092647A">
        <w:t>, while</w:t>
      </w:r>
      <w:r>
        <w:t xml:space="preserve"> a further 23% said they used the </w:t>
      </w:r>
      <w:proofErr w:type="spellStart"/>
      <w:r>
        <w:t>NatSIP</w:t>
      </w:r>
      <w:proofErr w:type="spellEnd"/>
      <w:r>
        <w:t xml:space="preserve"> Eligibility Framework. 27% said support was provided based on a child’s individual needs</w:t>
      </w:r>
      <w:r w:rsidR="0092647A">
        <w:t>;</w:t>
      </w:r>
      <w:r>
        <w:t xml:space="preserve"> this includes the degree and severity of vision impairment, age of the pupil, specialist equipment needed and the professional judgement from a QTVI or medical professional.</w:t>
      </w:r>
    </w:p>
    <w:p w14:paraId="3568AB6F" w14:textId="77777777" w:rsidR="003607B8" w:rsidRDefault="003607B8" w:rsidP="003607B8"/>
    <w:p w14:paraId="0B858164" w14:textId="33F71135" w:rsidR="003607B8" w:rsidRDefault="002D7F01" w:rsidP="003607B8">
      <w:r>
        <w:t xml:space="preserve">Local authorities were given </w:t>
      </w:r>
      <w:r w:rsidR="001F2663">
        <w:t xml:space="preserve">an option to provide extra </w:t>
      </w:r>
      <w:r w:rsidR="004768EA">
        <w:t>information regardi</w:t>
      </w:r>
      <w:r w:rsidR="00FA4F0F">
        <w:t>ng</w:t>
      </w:r>
      <w:r w:rsidR="00C71DA8">
        <w:t xml:space="preserve"> the criteria they used for allocating support. </w:t>
      </w:r>
      <w:r w:rsidR="009A62B1">
        <w:t xml:space="preserve">A further </w:t>
      </w:r>
      <w:r w:rsidR="003607B8">
        <w:t xml:space="preserve">27% of </w:t>
      </w:r>
      <w:r w:rsidR="009A62B1">
        <w:t xml:space="preserve">local </w:t>
      </w:r>
      <w:r w:rsidR="003607B8">
        <w:t>authorities stated they</w:t>
      </w:r>
      <w:r w:rsidR="00865811">
        <w:t xml:space="preserve"> </w:t>
      </w:r>
      <w:r w:rsidR="002539F7">
        <w:t xml:space="preserve">used </w:t>
      </w:r>
      <w:r w:rsidR="00865811">
        <w:t>a c</w:t>
      </w:r>
      <w:r w:rsidR="002539F7">
        <w:t>o</w:t>
      </w:r>
      <w:r w:rsidR="00865811">
        <w:t xml:space="preserve">mbination of </w:t>
      </w:r>
      <w:r w:rsidR="002C73D1">
        <w:t>frameworks and assessments. For example</w:t>
      </w:r>
      <w:r w:rsidR="008D087C">
        <w:t>,</w:t>
      </w:r>
      <w:r w:rsidR="002C73D1">
        <w:t xml:space="preserve"> </w:t>
      </w:r>
      <w:r w:rsidR="00072A79">
        <w:t xml:space="preserve">several authorities stated they used </w:t>
      </w:r>
      <w:r w:rsidR="003607B8">
        <w:t xml:space="preserve">elements of the VINCYP as well as </w:t>
      </w:r>
      <w:proofErr w:type="spellStart"/>
      <w:r w:rsidR="003607B8">
        <w:t>NatSIP</w:t>
      </w:r>
      <w:proofErr w:type="spellEnd"/>
      <w:r w:rsidR="003607B8">
        <w:t xml:space="preserve"> Eligibility Framework, staff </w:t>
      </w:r>
      <w:r w:rsidR="003607B8">
        <w:lastRenderedPageBreak/>
        <w:t xml:space="preserve">judgement and GIRFEC. The lack of consistent use of frameworks in allocating support across local authorities could lead to inconsistent specialist support for CYP with VI, </w:t>
      </w:r>
      <w:r w:rsidR="0092647A">
        <w:t>resulting in</w:t>
      </w:r>
      <w:r w:rsidR="003607B8">
        <w:t xml:space="preserve"> a patchwork of provision and ultimately affecting outcomes for CYP with VI.   </w:t>
      </w:r>
    </w:p>
    <w:p w14:paraId="1BC1986C" w14:textId="77777777" w:rsidR="003607B8" w:rsidRDefault="003607B8" w:rsidP="003607B8"/>
    <w:p w14:paraId="6D011876" w14:textId="77777777" w:rsidR="003607B8" w:rsidRDefault="003607B8" w:rsidP="003607B8">
      <w:pPr>
        <w:rPr>
          <w:bCs/>
          <w:lang w:eastAsia="en-GB"/>
        </w:rPr>
      </w:pPr>
      <w:r>
        <w:rPr>
          <w:bCs/>
          <w:lang w:eastAsia="en-GB"/>
        </w:rPr>
        <w:t>We asked local authorities what</w:t>
      </w:r>
      <w:r w:rsidRPr="00543DEE">
        <w:rPr>
          <w:bCs/>
          <w:lang w:eastAsia="en-GB"/>
        </w:rPr>
        <w:t xml:space="preserve"> existing framework or curriculum </w:t>
      </w:r>
      <w:r>
        <w:rPr>
          <w:bCs/>
          <w:lang w:eastAsia="en-GB"/>
        </w:rPr>
        <w:t xml:space="preserve">they used </w:t>
      </w:r>
      <w:r w:rsidRPr="00543DEE">
        <w:rPr>
          <w:bCs/>
          <w:lang w:eastAsia="en-GB"/>
        </w:rPr>
        <w:t>to support CYP with VI</w:t>
      </w:r>
      <w:r>
        <w:rPr>
          <w:bCs/>
          <w:lang w:eastAsia="en-GB"/>
        </w:rPr>
        <w:t xml:space="preserve">. LAs were able to select more than one option. </w:t>
      </w:r>
    </w:p>
    <w:p w14:paraId="5E144DAB" w14:textId="77777777" w:rsidR="003607B8" w:rsidRDefault="003607B8" w:rsidP="003607B8">
      <w:pPr>
        <w:pStyle w:val="ListBullet"/>
      </w:pPr>
      <w:r>
        <w:t xml:space="preserve">33% used </w:t>
      </w:r>
      <w:r w:rsidRPr="00576507">
        <w:t>Expanded Core Curriculum (EEC) – USA</w:t>
      </w:r>
      <w:r>
        <w:t xml:space="preserve"> </w:t>
      </w:r>
    </w:p>
    <w:p w14:paraId="4BF47B0D" w14:textId="77777777" w:rsidR="003607B8" w:rsidRDefault="003607B8" w:rsidP="003607B8">
      <w:pPr>
        <w:pStyle w:val="ListBullet"/>
      </w:pPr>
      <w:r>
        <w:t xml:space="preserve">23% used </w:t>
      </w:r>
      <w:proofErr w:type="spellStart"/>
      <w:r w:rsidRPr="00500586">
        <w:t>NatSIP</w:t>
      </w:r>
      <w:proofErr w:type="spellEnd"/>
      <w:r w:rsidRPr="00500586">
        <w:t xml:space="preserve"> Learner Outcomes Framework</w:t>
      </w:r>
    </w:p>
    <w:p w14:paraId="7D218B12" w14:textId="77777777" w:rsidR="003607B8" w:rsidRDefault="003607B8" w:rsidP="003607B8">
      <w:pPr>
        <w:pStyle w:val="ListBullet"/>
      </w:pPr>
      <w:r>
        <w:t>70% used Developmental Journal (DJVI)</w:t>
      </w:r>
    </w:p>
    <w:p w14:paraId="0AE11A38" w14:textId="77777777" w:rsidR="003607B8" w:rsidRDefault="003607B8" w:rsidP="003607B8">
      <w:pPr>
        <w:pStyle w:val="ListBullet"/>
      </w:pPr>
      <w:r>
        <w:t xml:space="preserve">13% used </w:t>
      </w:r>
      <w:r w:rsidRPr="00576507">
        <w:t>Steps to Independence</w:t>
      </w:r>
      <w:r>
        <w:t xml:space="preserve"> – the mobility and independence</w:t>
      </w:r>
    </w:p>
    <w:p w14:paraId="78B78060" w14:textId="77777777" w:rsidR="003607B8" w:rsidRDefault="003607B8" w:rsidP="003607B8">
      <w:pPr>
        <w:pStyle w:val="ListBullet"/>
      </w:pPr>
      <w:r>
        <w:t>73% used The Oregon Project</w:t>
      </w:r>
    </w:p>
    <w:p w14:paraId="32C4DF42" w14:textId="77777777" w:rsidR="003607B8" w:rsidRDefault="003607B8" w:rsidP="003607B8">
      <w:pPr>
        <w:pStyle w:val="ListBullet"/>
      </w:pPr>
      <w:r>
        <w:t xml:space="preserve">33% used </w:t>
      </w:r>
      <w:r w:rsidRPr="00553E20">
        <w:t>Quality Standards for Habilitation</w:t>
      </w:r>
    </w:p>
    <w:p w14:paraId="45B5AE88" w14:textId="77777777" w:rsidR="003607B8" w:rsidRDefault="003607B8" w:rsidP="003607B8">
      <w:pPr>
        <w:pStyle w:val="ListBullet"/>
      </w:pPr>
      <w:r>
        <w:t>30% used Guide Dogs Habilitation programme</w:t>
      </w:r>
    </w:p>
    <w:p w14:paraId="65F58327" w14:textId="697AB736" w:rsidR="003607B8" w:rsidRDefault="003607B8" w:rsidP="003607B8">
      <w:pPr>
        <w:pStyle w:val="ListBullet"/>
      </w:pPr>
      <w:r>
        <w:t>37% used a Bespoke programme designed in house</w:t>
      </w:r>
    </w:p>
    <w:p w14:paraId="16B550A7" w14:textId="77777777" w:rsidR="003607B8" w:rsidRDefault="003607B8" w:rsidP="003607B8">
      <w:pPr>
        <w:pStyle w:val="ListBullet"/>
        <w:numPr>
          <w:ilvl w:val="0"/>
          <w:numId w:val="0"/>
        </w:numPr>
      </w:pPr>
    </w:p>
    <w:p w14:paraId="44E3D635" w14:textId="23D37753" w:rsidR="003607B8" w:rsidRDefault="003607B8" w:rsidP="003607B8">
      <w:pPr>
        <w:pStyle w:val="ListBullet"/>
        <w:numPr>
          <w:ilvl w:val="0"/>
          <w:numId w:val="0"/>
        </w:numPr>
      </w:pPr>
      <w:r>
        <w:t>For those who stated they used a bespoke programme designed in house</w:t>
      </w:r>
      <w:r w:rsidR="0092647A">
        <w:t>,</w:t>
      </w:r>
      <w:r>
        <w:t xml:space="preserve"> this consisted of two or more of the above options.</w:t>
      </w:r>
    </w:p>
    <w:p w14:paraId="739D8A4A" w14:textId="77777777" w:rsidR="003607B8" w:rsidRDefault="003607B8" w:rsidP="003607B8"/>
    <w:p w14:paraId="7DCF2D51" w14:textId="77777777" w:rsidR="003607B8" w:rsidRDefault="003607B8" w:rsidP="003607B8"/>
    <w:p w14:paraId="100A871F" w14:textId="77777777" w:rsidR="003607B8" w:rsidRDefault="003607B8" w:rsidP="003607B8">
      <w:pPr>
        <w:pStyle w:val="Heading2"/>
      </w:pPr>
      <w:bookmarkStart w:id="27" w:name="_Toc19300782"/>
      <w:bookmarkStart w:id="28" w:name="_Toc103952177"/>
      <w:r w:rsidRPr="004577CA">
        <w:t>4.2 Teachers and support staff</w:t>
      </w:r>
      <w:bookmarkEnd w:id="27"/>
      <w:bookmarkEnd w:id="28"/>
    </w:p>
    <w:p w14:paraId="7EEE6C20" w14:textId="77777777" w:rsidR="003607B8" w:rsidRDefault="003607B8" w:rsidP="003607B8">
      <w:pPr>
        <w:pStyle w:val="Heading3"/>
      </w:pPr>
      <w:r>
        <w:t>Service provision</w:t>
      </w:r>
    </w:p>
    <w:p w14:paraId="1BB70CDA" w14:textId="72CD00B9" w:rsidR="003607B8" w:rsidRDefault="003607B8" w:rsidP="003607B8">
      <w:r>
        <w:t xml:space="preserve">When asked who provided </w:t>
      </w:r>
      <w:r w:rsidRPr="00FB36F7">
        <w:t xml:space="preserve">Qualified Teacher of Children </w:t>
      </w:r>
      <w:r w:rsidR="0092647A">
        <w:t>and</w:t>
      </w:r>
      <w:r w:rsidRPr="00FB36F7">
        <w:t xml:space="preserve"> Young People with a Vision Impairment (QTVI</w:t>
      </w:r>
      <w:r>
        <w:t xml:space="preserve">) to authorities, 87% said QTVIs were employed by the local authority. 10% said QTVIs were delivered by an external organisation and 3% </w:t>
      </w:r>
      <w:r w:rsidR="00DC2343">
        <w:t xml:space="preserve">of </w:t>
      </w:r>
      <w:r>
        <w:t xml:space="preserve">QTVIs are shared with another local authority. </w:t>
      </w:r>
    </w:p>
    <w:p w14:paraId="5874B92C" w14:textId="77777777" w:rsidR="003607B8" w:rsidRDefault="003607B8" w:rsidP="003607B8"/>
    <w:p w14:paraId="10F0ACBF" w14:textId="5354478B" w:rsidR="003607B8" w:rsidRDefault="003607B8" w:rsidP="003607B8">
      <w:r>
        <w:t>Local authorities were given an option to provide more detail</w:t>
      </w:r>
      <w:r w:rsidR="0092647A">
        <w:t xml:space="preserve">; </w:t>
      </w:r>
      <w:r>
        <w:t xml:space="preserve">30% of respondents provided further details regarding the provision of QTVIs. </w:t>
      </w:r>
      <w:proofErr w:type="gramStart"/>
      <w:r>
        <w:t>The majority of</w:t>
      </w:r>
      <w:proofErr w:type="gramEnd"/>
      <w:r>
        <w:t xml:space="preserve"> authorities acknowledged their local council as the provider of QTVIs, whereas two authorities identified Sight Scotland as the main provider. </w:t>
      </w:r>
    </w:p>
    <w:p w14:paraId="15AB15BE" w14:textId="77777777" w:rsidR="003607B8" w:rsidRPr="00A7000F" w:rsidRDefault="003607B8" w:rsidP="003607B8"/>
    <w:p w14:paraId="5F6DDC2F" w14:textId="77777777" w:rsidR="003607B8" w:rsidRDefault="003607B8" w:rsidP="003607B8">
      <w:pPr>
        <w:pStyle w:val="Heading3"/>
      </w:pPr>
      <w:r w:rsidRPr="00E15EF8">
        <w:lastRenderedPageBreak/>
        <w:t>QTVI posts</w:t>
      </w:r>
    </w:p>
    <w:p w14:paraId="14A4DFD4" w14:textId="77777777" w:rsidR="003607B8" w:rsidRDefault="003607B8" w:rsidP="003607B8">
      <w:pPr>
        <w:rPr>
          <w:lang w:eastAsia="en-GB"/>
        </w:rPr>
      </w:pPr>
      <w:r>
        <w:t xml:space="preserve">There are a total of 91.4 full time equivalent </w:t>
      </w:r>
      <w:r w:rsidRPr="525DA021">
        <w:rPr>
          <w:lang w:eastAsia="en-GB"/>
        </w:rPr>
        <w:t>posts for QTVIs across 30</w:t>
      </w:r>
      <w:r>
        <w:rPr>
          <w:lang w:eastAsia="en-GB"/>
        </w:rPr>
        <w:t xml:space="preserve"> Scottish </w:t>
      </w:r>
      <w:r w:rsidRPr="525DA021">
        <w:rPr>
          <w:lang w:eastAsia="en-GB"/>
        </w:rPr>
        <w:t xml:space="preserve">local authorities; this figure is inclusive of those currently studying for the mandatory qualification MQ and current vacancies. </w:t>
      </w:r>
    </w:p>
    <w:p w14:paraId="7A8839EE" w14:textId="77777777" w:rsidR="003C79C5" w:rsidRDefault="003C79C5" w:rsidP="003607B8">
      <w:pPr>
        <w:rPr>
          <w:lang w:eastAsia="en-GB"/>
        </w:rPr>
      </w:pPr>
    </w:p>
    <w:p w14:paraId="2C301219" w14:textId="77777777" w:rsidR="00EE1D81" w:rsidRDefault="003607B8" w:rsidP="00EE1D81">
      <w:pPr>
        <w:pStyle w:val="ListParagraph"/>
        <w:numPr>
          <w:ilvl w:val="0"/>
          <w:numId w:val="8"/>
        </w:numPr>
        <w:rPr>
          <w:lang w:eastAsia="en-GB"/>
        </w:rPr>
      </w:pPr>
      <w:r w:rsidRPr="525DA021">
        <w:rPr>
          <w:lang w:eastAsia="en-GB"/>
        </w:rPr>
        <w:t>5</w:t>
      </w:r>
      <w:r>
        <w:rPr>
          <w:lang w:eastAsia="en-GB"/>
        </w:rPr>
        <w:t>9</w:t>
      </w:r>
      <w:r w:rsidRPr="525DA021">
        <w:rPr>
          <w:lang w:eastAsia="en-GB"/>
        </w:rPr>
        <w:t xml:space="preserve">% of </w:t>
      </w:r>
      <w:r>
        <w:rPr>
          <w:lang w:eastAsia="en-GB"/>
        </w:rPr>
        <w:t>QTVIs</w:t>
      </w:r>
      <w:r w:rsidRPr="525DA021">
        <w:rPr>
          <w:lang w:eastAsia="en-GB"/>
        </w:rPr>
        <w:t xml:space="preserve"> hold the mandatory qualification in VI</w:t>
      </w:r>
    </w:p>
    <w:p w14:paraId="20E85C05" w14:textId="77777777" w:rsidR="00EE1D81" w:rsidRDefault="003607B8" w:rsidP="00EE1D81">
      <w:pPr>
        <w:pStyle w:val="ListParagraph"/>
        <w:numPr>
          <w:ilvl w:val="0"/>
          <w:numId w:val="8"/>
        </w:numPr>
        <w:rPr>
          <w:lang w:eastAsia="en-GB"/>
        </w:rPr>
      </w:pPr>
      <w:r w:rsidRPr="525DA021">
        <w:rPr>
          <w:lang w:eastAsia="en-GB"/>
        </w:rPr>
        <w:t>2</w:t>
      </w:r>
      <w:r>
        <w:rPr>
          <w:lang w:eastAsia="en-GB"/>
        </w:rPr>
        <w:t>4</w:t>
      </w:r>
      <w:r w:rsidRPr="525DA021">
        <w:rPr>
          <w:lang w:eastAsia="en-GB"/>
        </w:rPr>
        <w:t>% of teachers are currently studying for MQ</w:t>
      </w:r>
    </w:p>
    <w:p w14:paraId="74030673" w14:textId="77777777" w:rsidR="00EE1D81" w:rsidRDefault="003607B8" w:rsidP="00EE1D81">
      <w:pPr>
        <w:pStyle w:val="ListParagraph"/>
        <w:numPr>
          <w:ilvl w:val="0"/>
          <w:numId w:val="8"/>
        </w:numPr>
        <w:rPr>
          <w:lang w:eastAsia="en-GB"/>
        </w:rPr>
      </w:pPr>
      <w:r w:rsidRPr="525DA021">
        <w:rPr>
          <w:lang w:eastAsia="en-GB"/>
        </w:rPr>
        <w:t>1</w:t>
      </w:r>
      <w:r>
        <w:rPr>
          <w:lang w:eastAsia="en-GB"/>
        </w:rPr>
        <w:t>4</w:t>
      </w:r>
      <w:r w:rsidRPr="525DA021">
        <w:rPr>
          <w:lang w:eastAsia="en-GB"/>
        </w:rPr>
        <w:t>% are in post and not yet studying for MQ</w:t>
      </w:r>
    </w:p>
    <w:p w14:paraId="3B5C2F59" w14:textId="5B7A9633" w:rsidR="00EE1D81" w:rsidRDefault="003607B8" w:rsidP="00EE1D81">
      <w:pPr>
        <w:pStyle w:val="ListParagraph"/>
        <w:numPr>
          <w:ilvl w:val="0"/>
          <w:numId w:val="8"/>
        </w:numPr>
        <w:rPr>
          <w:lang w:eastAsia="en-GB"/>
        </w:rPr>
      </w:pPr>
      <w:r w:rsidRPr="525DA021">
        <w:rPr>
          <w:lang w:eastAsia="en-GB"/>
        </w:rPr>
        <w:t xml:space="preserve">3% of </w:t>
      </w:r>
      <w:r w:rsidR="00361E28">
        <w:rPr>
          <w:lang w:eastAsia="en-GB"/>
        </w:rPr>
        <w:t>posts are</w:t>
      </w:r>
      <w:r w:rsidRPr="525DA021">
        <w:rPr>
          <w:lang w:eastAsia="en-GB"/>
        </w:rPr>
        <w:t xml:space="preserve"> open vacancies yet to be filled. </w:t>
      </w:r>
    </w:p>
    <w:p w14:paraId="62CBA6D7" w14:textId="331B5A19" w:rsidR="003607B8" w:rsidRDefault="003607B8" w:rsidP="00EE1D81">
      <w:pPr>
        <w:pStyle w:val="ListParagraph"/>
        <w:numPr>
          <w:ilvl w:val="0"/>
          <w:numId w:val="8"/>
        </w:numPr>
        <w:rPr>
          <w:lang w:eastAsia="en-GB"/>
        </w:rPr>
      </w:pPr>
      <w:r w:rsidRPr="525DA021">
        <w:rPr>
          <w:lang w:eastAsia="en-GB"/>
        </w:rPr>
        <w:t xml:space="preserve">Only one local authority said they did not employ any FTE </w:t>
      </w:r>
      <w:r>
        <w:rPr>
          <w:lang w:eastAsia="en-GB"/>
        </w:rPr>
        <w:t>QTVIs</w:t>
      </w:r>
      <w:r w:rsidRPr="525DA021">
        <w:rPr>
          <w:lang w:eastAsia="en-GB"/>
        </w:rPr>
        <w:t>.</w:t>
      </w:r>
    </w:p>
    <w:p w14:paraId="39CC7886" w14:textId="77777777" w:rsidR="003607B8" w:rsidRDefault="003607B8" w:rsidP="003607B8">
      <w:pPr>
        <w:rPr>
          <w:lang w:eastAsia="en-GB"/>
        </w:rPr>
      </w:pPr>
    </w:p>
    <w:p w14:paraId="74386E2A" w14:textId="77777777" w:rsidR="003607B8" w:rsidRPr="00E15EF8" w:rsidRDefault="003607B8" w:rsidP="003607B8">
      <w:pPr>
        <w:pStyle w:val="Heading3"/>
      </w:pPr>
      <w:r>
        <w:t>Pupil Support Assistants</w:t>
      </w:r>
    </w:p>
    <w:p w14:paraId="33E73805" w14:textId="17C30742" w:rsidR="003607B8" w:rsidRDefault="003607B8" w:rsidP="003607B8">
      <w:pPr>
        <w:rPr>
          <w:lang w:eastAsia="en-GB"/>
        </w:rPr>
      </w:pPr>
      <w:r w:rsidRPr="525DA021">
        <w:rPr>
          <w:lang w:eastAsia="en-GB"/>
        </w:rPr>
        <w:t xml:space="preserve">Only one third of responding </w:t>
      </w:r>
      <w:r>
        <w:rPr>
          <w:lang w:eastAsia="en-GB"/>
        </w:rPr>
        <w:t>LAs</w:t>
      </w:r>
      <w:r w:rsidRPr="525DA021">
        <w:rPr>
          <w:lang w:eastAsia="en-GB"/>
        </w:rPr>
        <w:t xml:space="preserve"> employ a pupil support assistant (PSA) to work specifically with CYP with VI. The total number of full-time equivalent PSA posts across these authorities is 34.08. One LA said they do not hold</w:t>
      </w:r>
      <w:r>
        <w:rPr>
          <w:lang w:eastAsia="en-GB"/>
        </w:rPr>
        <w:t xml:space="preserve"> </w:t>
      </w:r>
      <w:r w:rsidRPr="525DA021">
        <w:rPr>
          <w:lang w:eastAsia="en-GB"/>
        </w:rPr>
        <w:t>this information and a further two authorities said PSAs are not directly employed by the VI service</w:t>
      </w:r>
      <w:r w:rsidR="0092647A">
        <w:rPr>
          <w:lang w:eastAsia="en-GB"/>
        </w:rPr>
        <w:t>,</w:t>
      </w:r>
      <w:r w:rsidRPr="525DA021">
        <w:rPr>
          <w:lang w:eastAsia="en-GB"/>
        </w:rPr>
        <w:t xml:space="preserve"> as most PSAs are employed directly by schools</w:t>
      </w:r>
      <w:r w:rsidR="0092647A">
        <w:rPr>
          <w:lang w:eastAsia="en-GB"/>
        </w:rPr>
        <w:t>,</w:t>
      </w:r>
      <w:r w:rsidRPr="525DA021">
        <w:rPr>
          <w:lang w:eastAsia="en-GB"/>
        </w:rPr>
        <w:t xml:space="preserve"> as opposed to sensory services. </w:t>
      </w:r>
    </w:p>
    <w:p w14:paraId="485CEDE9" w14:textId="77777777" w:rsidR="003607B8" w:rsidRDefault="003607B8" w:rsidP="003607B8">
      <w:pPr>
        <w:rPr>
          <w:lang w:eastAsia="en-GB"/>
        </w:rPr>
      </w:pPr>
    </w:p>
    <w:p w14:paraId="301FD22C" w14:textId="2FFA2A19" w:rsidR="003607B8" w:rsidRDefault="003607B8" w:rsidP="003607B8">
      <w:pPr>
        <w:rPr>
          <w:lang w:eastAsia="en-GB"/>
        </w:rPr>
      </w:pPr>
      <w:r>
        <w:rPr>
          <w:lang w:eastAsia="en-GB"/>
        </w:rPr>
        <w:t>Authorities were given an option to provide details of any other staff employed by the VI service. Of those authorities that responded to this question, the majority employed transcription staff</w:t>
      </w:r>
      <w:r w:rsidR="0092647A">
        <w:rPr>
          <w:lang w:eastAsia="en-GB"/>
        </w:rPr>
        <w:t>,</w:t>
      </w:r>
      <w:r>
        <w:rPr>
          <w:lang w:eastAsia="en-GB"/>
        </w:rPr>
        <w:t xml:space="preserve"> followed by communicators and support workers. </w:t>
      </w:r>
    </w:p>
    <w:p w14:paraId="4FCEA33F" w14:textId="77777777" w:rsidR="003607B8" w:rsidRDefault="003607B8" w:rsidP="003607B8">
      <w:pPr>
        <w:rPr>
          <w:lang w:eastAsia="en-GB"/>
        </w:rPr>
      </w:pPr>
    </w:p>
    <w:p w14:paraId="455989BE" w14:textId="77777777" w:rsidR="003607B8" w:rsidRPr="0080233C" w:rsidRDefault="003607B8" w:rsidP="003607B8">
      <w:pPr>
        <w:rPr>
          <w:highlight w:val="yellow"/>
          <w:lang w:eastAsia="en-GB"/>
        </w:rPr>
      </w:pPr>
    </w:p>
    <w:p w14:paraId="17062068" w14:textId="77777777" w:rsidR="003607B8" w:rsidRPr="00E15EF8" w:rsidRDefault="003607B8" w:rsidP="003607B8">
      <w:pPr>
        <w:pStyle w:val="Heading2"/>
      </w:pPr>
      <w:bookmarkStart w:id="29" w:name="_Toc103952178"/>
      <w:r w:rsidRPr="00E15EF8">
        <w:t>4.</w:t>
      </w:r>
      <w:r>
        <w:t>3 Habilitation</w:t>
      </w:r>
      <w:bookmarkEnd w:id="29"/>
    </w:p>
    <w:p w14:paraId="6115FC36" w14:textId="0F4B3F8E" w:rsidR="003607B8" w:rsidRDefault="003607B8" w:rsidP="003607B8">
      <w:pPr>
        <w:rPr>
          <w:bCs/>
          <w:lang w:eastAsia="en-GB"/>
        </w:rPr>
      </w:pPr>
      <w:r>
        <w:rPr>
          <w:bCs/>
          <w:lang w:eastAsia="en-GB"/>
        </w:rPr>
        <w:t xml:space="preserve">There are a total of </w:t>
      </w:r>
      <w:r>
        <w:t xml:space="preserve">554 </w:t>
      </w:r>
      <w:r>
        <w:rPr>
          <w:bCs/>
          <w:lang w:eastAsia="en-GB"/>
        </w:rPr>
        <w:t xml:space="preserve">pupils </w:t>
      </w:r>
      <w:r w:rsidRPr="002D0E9A">
        <w:rPr>
          <w:bCs/>
          <w:lang w:eastAsia="en-GB"/>
        </w:rPr>
        <w:t xml:space="preserve">currently </w:t>
      </w:r>
      <w:r>
        <w:rPr>
          <w:bCs/>
          <w:lang w:eastAsia="en-GB"/>
        </w:rPr>
        <w:t xml:space="preserve">on active habilitation caseloads, with a further 115 waiting to be assessed. </w:t>
      </w:r>
    </w:p>
    <w:p w14:paraId="237999EE" w14:textId="77777777" w:rsidR="003607B8" w:rsidRDefault="003607B8" w:rsidP="003607B8">
      <w:pPr>
        <w:rPr>
          <w:bCs/>
          <w:lang w:eastAsia="en-GB"/>
        </w:rPr>
      </w:pPr>
    </w:p>
    <w:p w14:paraId="0B131209" w14:textId="78E620A3" w:rsidR="003607B8" w:rsidRDefault="003607B8" w:rsidP="003607B8">
      <w:pPr>
        <w:rPr>
          <w:bCs/>
          <w:lang w:eastAsia="en-GB"/>
        </w:rPr>
      </w:pPr>
      <w:r>
        <w:rPr>
          <w:bCs/>
          <w:lang w:eastAsia="en-GB"/>
        </w:rPr>
        <w:t>Of the total children on active caseload</w:t>
      </w:r>
      <w:r w:rsidR="006910C9">
        <w:rPr>
          <w:bCs/>
          <w:lang w:eastAsia="en-GB"/>
        </w:rPr>
        <w:t xml:space="preserve"> (2,</w:t>
      </w:r>
      <w:r w:rsidR="00EB26CF">
        <w:rPr>
          <w:bCs/>
          <w:lang w:eastAsia="en-GB"/>
        </w:rPr>
        <w:t>686)</w:t>
      </w:r>
      <w:r>
        <w:rPr>
          <w:bCs/>
          <w:lang w:eastAsia="en-GB"/>
        </w:rPr>
        <w:t>,</w:t>
      </w:r>
      <w:r w:rsidR="0092647A">
        <w:rPr>
          <w:bCs/>
          <w:lang w:eastAsia="en-GB"/>
        </w:rPr>
        <w:t xml:space="preserve"> almost</w:t>
      </w:r>
      <w:r>
        <w:rPr>
          <w:bCs/>
          <w:lang w:eastAsia="en-GB"/>
        </w:rPr>
        <w:t xml:space="preserve"> a quarter (21%) are receiving or waiting to be assessed for habilitation support. This is based on authorities who provided figures for CYP in receipt of habilitation support. </w:t>
      </w:r>
    </w:p>
    <w:p w14:paraId="75A79D30" w14:textId="77777777" w:rsidR="003607B8" w:rsidRDefault="003607B8" w:rsidP="003607B8">
      <w:pPr>
        <w:rPr>
          <w:bCs/>
          <w:lang w:eastAsia="en-GB"/>
        </w:rPr>
      </w:pPr>
    </w:p>
    <w:p w14:paraId="3A4623F0" w14:textId="038ABD52" w:rsidR="003607B8" w:rsidRDefault="003607B8" w:rsidP="003607B8">
      <w:pPr>
        <w:rPr>
          <w:bCs/>
          <w:lang w:eastAsia="en-GB"/>
        </w:rPr>
      </w:pPr>
      <w:r>
        <w:rPr>
          <w:bCs/>
          <w:lang w:eastAsia="en-GB"/>
        </w:rPr>
        <w:t>When asked how habilitation services are delivered, 47% of authorities said they employ a habilitation specialist, whereas 33% said an external organisation is commissioned to deliver the service</w:t>
      </w:r>
      <w:r w:rsidR="00740CA7">
        <w:rPr>
          <w:bCs/>
          <w:lang w:eastAsia="en-GB"/>
        </w:rPr>
        <w:t xml:space="preserve"> and </w:t>
      </w:r>
      <w:r>
        <w:rPr>
          <w:bCs/>
          <w:lang w:eastAsia="en-GB"/>
        </w:rPr>
        <w:t xml:space="preserve">17% stated </w:t>
      </w:r>
      <w:r>
        <w:rPr>
          <w:bCs/>
          <w:lang w:eastAsia="en-GB"/>
        </w:rPr>
        <w:lastRenderedPageBreak/>
        <w:t>services are spot purchased</w:t>
      </w:r>
      <w:r w:rsidR="00740CA7">
        <w:rPr>
          <w:bCs/>
          <w:lang w:eastAsia="en-GB"/>
        </w:rPr>
        <w:t xml:space="preserve">. </w:t>
      </w:r>
      <w:r w:rsidR="006F4BA0">
        <w:rPr>
          <w:bCs/>
          <w:lang w:eastAsia="en-GB"/>
        </w:rPr>
        <w:t xml:space="preserve">A further </w:t>
      </w:r>
      <w:r>
        <w:rPr>
          <w:bCs/>
          <w:lang w:eastAsia="en-GB"/>
        </w:rPr>
        <w:t>10% said no habilitation services are delivered</w:t>
      </w:r>
      <w:r w:rsidR="005C3E99">
        <w:rPr>
          <w:bCs/>
          <w:lang w:eastAsia="en-GB"/>
        </w:rPr>
        <w:t>;</w:t>
      </w:r>
      <w:r w:rsidR="00DF2B32">
        <w:rPr>
          <w:bCs/>
          <w:lang w:eastAsia="en-GB"/>
        </w:rPr>
        <w:t xml:space="preserve"> </w:t>
      </w:r>
      <w:r w:rsidR="006F4BA0">
        <w:rPr>
          <w:bCs/>
          <w:lang w:eastAsia="en-GB"/>
        </w:rPr>
        <w:t xml:space="preserve">these local authorities support </w:t>
      </w:r>
      <w:r w:rsidR="00740CA7">
        <w:rPr>
          <w:bCs/>
          <w:lang w:eastAsia="en-GB"/>
        </w:rPr>
        <w:t>399 children and young people</w:t>
      </w:r>
      <w:r w:rsidR="006F4BA0">
        <w:rPr>
          <w:bCs/>
          <w:lang w:eastAsia="en-GB"/>
        </w:rPr>
        <w:t xml:space="preserve"> with vision impairment</w:t>
      </w:r>
      <w:r>
        <w:rPr>
          <w:bCs/>
          <w:lang w:eastAsia="en-GB"/>
        </w:rPr>
        <w:t xml:space="preserve">. </w:t>
      </w:r>
    </w:p>
    <w:p w14:paraId="2FDD7E70" w14:textId="77777777" w:rsidR="003607B8" w:rsidRDefault="003607B8" w:rsidP="003607B8">
      <w:pPr>
        <w:rPr>
          <w:bCs/>
          <w:lang w:eastAsia="en-GB"/>
        </w:rPr>
      </w:pPr>
    </w:p>
    <w:p w14:paraId="5F4856C4" w14:textId="6F555203" w:rsidR="003607B8" w:rsidRDefault="003607B8" w:rsidP="003607B8">
      <w:pPr>
        <w:rPr>
          <w:bCs/>
          <w:lang w:eastAsia="en-GB"/>
        </w:rPr>
      </w:pPr>
      <w:r>
        <w:rPr>
          <w:bCs/>
          <w:lang w:eastAsia="en-GB"/>
        </w:rPr>
        <w:t>There was also an option for LAs to provide more information regarding service delivery</w:t>
      </w:r>
      <w:r w:rsidR="005C3E99">
        <w:rPr>
          <w:bCs/>
          <w:lang w:eastAsia="en-GB"/>
        </w:rPr>
        <w:t>. T</w:t>
      </w:r>
      <w:r>
        <w:rPr>
          <w:bCs/>
          <w:lang w:eastAsia="en-GB"/>
        </w:rPr>
        <w:t xml:space="preserve">he most popular answer was that habilitation services were provided by </w:t>
      </w:r>
      <w:r w:rsidR="005C3E99">
        <w:rPr>
          <w:bCs/>
          <w:lang w:eastAsia="en-GB"/>
        </w:rPr>
        <w:t xml:space="preserve">a </w:t>
      </w:r>
      <w:r w:rsidRPr="009B5D65">
        <w:rPr>
          <w:bCs/>
          <w:lang w:eastAsia="en-GB"/>
        </w:rPr>
        <w:t>Social Service</w:t>
      </w:r>
      <w:r w:rsidR="005C3E99">
        <w:rPr>
          <w:bCs/>
          <w:lang w:eastAsia="en-GB"/>
        </w:rPr>
        <w:t>s</w:t>
      </w:r>
      <w:r w:rsidR="00024D75">
        <w:rPr>
          <w:bCs/>
          <w:lang w:eastAsia="en-GB"/>
        </w:rPr>
        <w:t xml:space="preserve"> </w:t>
      </w:r>
      <w:r w:rsidRPr="009B5D65">
        <w:rPr>
          <w:bCs/>
          <w:lang w:eastAsia="en-GB"/>
        </w:rPr>
        <w:t>Sensory Support Team.</w:t>
      </w:r>
    </w:p>
    <w:p w14:paraId="7535935D" w14:textId="77777777" w:rsidR="003607B8" w:rsidRDefault="003607B8" w:rsidP="003607B8">
      <w:pPr>
        <w:rPr>
          <w:bCs/>
          <w:lang w:eastAsia="en-GB"/>
        </w:rPr>
      </w:pPr>
    </w:p>
    <w:p w14:paraId="236341C9" w14:textId="6FE18071" w:rsidR="003607B8" w:rsidRDefault="003607B8" w:rsidP="003607B8">
      <w:pPr>
        <w:rPr>
          <w:bCs/>
          <w:lang w:eastAsia="en-GB"/>
        </w:rPr>
      </w:pPr>
      <w:r>
        <w:rPr>
          <w:bCs/>
          <w:lang w:eastAsia="en-GB"/>
        </w:rPr>
        <w:t>Only three authorities said no habilitation services are delivered</w:t>
      </w:r>
      <w:r w:rsidR="00024D75">
        <w:rPr>
          <w:bCs/>
          <w:lang w:eastAsia="en-GB"/>
        </w:rPr>
        <w:t xml:space="preserve">; </w:t>
      </w:r>
      <w:r>
        <w:rPr>
          <w:bCs/>
          <w:lang w:eastAsia="en-GB"/>
        </w:rPr>
        <w:t xml:space="preserve">two of the LAs stated </w:t>
      </w:r>
      <w:r w:rsidRPr="00DD5234">
        <w:rPr>
          <w:bCs/>
          <w:lang w:eastAsia="en-GB"/>
        </w:rPr>
        <w:t xml:space="preserve">habilitation services to children </w:t>
      </w:r>
      <w:r>
        <w:rPr>
          <w:bCs/>
          <w:lang w:eastAsia="en-GB"/>
        </w:rPr>
        <w:t>were</w:t>
      </w:r>
      <w:r w:rsidRPr="00DD5234">
        <w:rPr>
          <w:bCs/>
          <w:lang w:eastAsia="en-GB"/>
        </w:rPr>
        <w:t xml:space="preserve"> under consultation</w:t>
      </w:r>
      <w:r>
        <w:rPr>
          <w:bCs/>
          <w:lang w:eastAsia="en-GB"/>
        </w:rPr>
        <w:t xml:space="preserve">, whereas another authority has a member of staff currently undergoing habilitation training. </w:t>
      </w:r>
    </w:p>
    <w:p w14:paraId="31DF7E2F" w14:textId="77777777" w:rsidR="003607B8" w:rsidRDefault="003607B8" w:rsidP="003607B8">
      <w:pPr>
        <w:rPr>
          <w:bCs/>
          <w:lang w:eastAsia="en-GB"/>
        </w:rPr>
      </w:pPr>
    </w:p>
    <w:p w14:paraId="65F89375" w14:textId="77777777" w:rsidR="003607B8" w:rsidRDefault="003607B8" w:rsidP="003607B8">
      <w:pPr>
        <w:rPr>
          <w:bCs/>
          <w:lang w:eastAsia="en-GB"/>
        </w:rPr>
      </w:pPr>
      <w:r>
        <w:rPr>
          <w:bCs/>
          <w:lang w:eastAsia="en-GB"/>
        </w:rPr>
        <w:t>Local authorities were asked to provide the number of hours per week a h</w:t>
      </w:r>
      <w:r w:rsidRPr="00A3521C">
        <w:rPr>
          <w:bCs/>
          <w:lang w:eastAsia="en-GB"/>
        </w:rPr>
        <w:t>abilitation</w:t>
      </w:r>
      <w:r>
        <w:rPr>
          <w:bCs/>
          <w:lang w:eastAsia="en-GB"/>
        </w:rPr>
        <w:t xml:space="preserve"> s</w:t>
      </w:r>
      <w:r w:rsidRPr="00A3521C">
        <w:rPr>
          <w:bCs/>
          <w:lang w:eastAsia="en-GB"/>
        </w:rPr>
        <w:t>pecialist provide</w:t>
      </w:r>
      <w:r>
        <w:rPr>
          <w:bCs/>
          <w:lang w:eastAsia="en-GB"/>
        </w:rPr>
        <w:t>s</w:t>
      </w:r>
      <w:r w:rsidRPr="00A3521C">
        <w:rPr>
          <w:bCs/>
          <w:lang w:eastAsia="en-GB"/>
        </w:rPr>
        <w:t xml:space="preserve"> support to chil</w:t>
      </w:r>
      <w:r>
        <w:rPr>
          <w:bCs/>
          <w:lang w:eastAsia="en-GB"/>
        </w:rPr>
        <w:t xml:space="preserve">dren and young people. Of the 11 local authorities that responded to this question, the total amount of support provided was 286 hours per week. </w:t>
      </w:r>
    </w:p>
    <w:p w14:paraId="0C3DED2A" w14:textId="77777777" w:rsidR="003607B8" w:rsidRDefault="003607B8" w:rsidP="003607B8"/>
    <w:p w14:paraId="3EC008D3" w14:textId="77777777" w:rsidR="003607B8" w:rsidRPr="004600C8" w:rsidRDefault="003607B8" w:rsidP="003607B8">
      <w:pPr>
        <w:pStyle w:val="ListBullet"/>
        <w:numPr>
          <w:ilvl w:val="0"/>
          <w:numId w:val="0"/>
        </w:numPr>
      </w:pPr>
    </w:p>
    <w:p w14:paraId="681F52B4" w14:textId="77777777" w:rsidR="003607B8" w:rsidRDefault="003607B8" w:rsidP="003607B8">
      <w:pPr>
        <w:pStyle w:val="Heading1"/>
      </w:pPr>
      <w:bookmarkStart w:id="30" w:name="_Toc103952179"/>
      <w:r>
        <w:t>5</w:t>
      </w:r>
      <w:r w:rsidRPr="00E15EF8">
        <w:t xml:space="preserve">. </w:t>
      </w:r>
      <w:r>
        <w:t>Conclusion</w:t>
      </w:r>
      <w:bookmarkEnd w:id="30"/>
    </w:p>
    <w:p w14:paraId="0860C172" w14:textId="6822993B" w:rsidR="00984594" w:rsidRDefault="00984594" w:rsidP="00984594">
      <w:pPr>
        <w:rPr>
          <w:lang w:eastAsia="en-GB"/>
        </w:rPr>
      </w:pPr>
      <w:r>
        <w:t xml:space="preserve">This is the first FOI circulated </w:t>
      </w:r>
      <w:r w:rsidR="00662061">
        <w:t xml:space="preserve">by RNIB </w:t>
      </w:r>
      <w:r>
        <w:t>to Scottish local authorities on the delivery of specialist services for children with vision impairment. Our intention is to make this an annual request</w:t>
      </w:r>
      <w:r w:rsidR="00024D75">
        <w:t>,</w:t>
      </w:r>
      <w:r>
        <w:t xml:space="preserve"> so that we can identify broad trends over time. The findings from our first FOI suggest a varied pattern of specialist service delivery across Scotland. This is leaving some children and young people without the </w:t>
      </w:r>
      <w:r w:rsidR="00024D75">
        <w:t xml:space="preserve">vital </w:t>
      </w:r>
      <w:r>
        <w:t>support they need to participate in education and all the opportunities childhood has to offer.</w:t>
      </w:r>
    </w:p>
    <w:p w14:paraId="02E9D9D5" w14:textId="77777777" w:rsidR="00984594" w:rsidRDefault="00984594" w:rsidP="00984594"/>
    <w:p w14:paraId="60566252" w14:textId="08A0AFE2" w:rsidR="00984594" w:rsidRDefault="00C6472E" w:rsidP="00984594">
      <w:proofErr w:type="gramStart"/>
      <w:r>
        <w:t>In order to</w:t>
      </w:r>
      <w:proofErr w:type="gramEnd"/>
      <w:r>
        <w:t xml:space="preserve"> make sure children and young people </w:t>
      </w:r>
      <w:r w:rsidR="00984594">
        <w:t>with vision impairment have equality of opportunity in education, we are calling on the Scottish Government to:</w:t>
      </w:r>
    </w:p>
    <w:p w14:paraId="6D06C87E" w14:textId="77777777" w:rsidR="00984594" w:rsidRDefault="00984594" w:rsidP="00984594"/>
    <w:p w14:paraId="38467F69" w14:textId="3CC4EFB6" w:rsidR="00984594" w:rsidRDefault="00D609CA" w:rsidP="00984594">
      <w:pPr>
        <w:numPr>
          <w:ilvl w:val="0"/>
          <w:numId w:val="9"/>
        </w:numPr>
      </w:pPr>
      <w:r>
        <w:t>E</w:t>
      </w:r>
      <w:r w:rsidR="00984594">
        <w:t>nsure consistency of funding and eligibility criteria of specialist provision for children and young people with vision impairment across Scotland. RNIB</w:t>
      </w:r>
      <w:r w:rsidR="00662061">
        <w:t xml:space="preserve"> (</w:t>
      </w:r>
      <w:r w:rsidR="00D10461">
        <w:t>including</w:t>
      </w:r>
      <w:r w:rsidR="00984594">
        <w:t xml:space="preserve"> Scotland</w:t>
      </w:r>
      <w:r w:rsidR="00662061">
        <w:t>)</w:t>
      </w:r>
      <w:r w:rsidR="00984594">
        <w:t xml:space="preserve"> and partners have developed a Curriculum Framework for Children</w:t>
      </w:r>
      <w:r w:rsidR="00024D75">
        <w:t xml:space="preserve"> and</w:t>
      </w:r>
      <w:r w:rsidR="00984594">
        <w:t xml:space="preserve"> Young </w:t>
      </w:r>
      <w:r w:rsidR="00024D75">
        <w:t>P</w:t>
      </w:r>
      <w:r w:rsidR="00984594">
        <w:t>eople with Vision Impairment (</w:t>
      </w:r>
      <w:hyperlink r:id="rId11" w:history="1">
        <w:r w:rsidR="00984594">
          <w:rPr>
            <w:rStyle w:val="Hyperlink"/>
          </w:rPr>
          <w:t>CFVI</w:t>
        </w:r>
      </w:hyperlink>
      <w:r w:rsidR="00984594">
        <w:t xml:space="preserve">). The CFVI has been developed to support children and young people with vision impairment access and appropriate and </w:t>
      </w:r>
      <w:r w:rsidR="00984594">
        <w:lastRenderedPageBreak/>
        <w:t>equitable education. We are eager to engage with Education Scotland on this to ensure the framework reaches every child with VI in Scotland, through measures such as being referred to in official guidance or receiving statutory status.</w:t>
      </w:r>
    </w:p>
    <w:p w14:paraId="0392BFE2" w14:textId="7434BF20" w:rsidR="00984594" w:rsidRDefault="00984594" w:rsidP="00984594">
      <w:pPr>
        <w:numPr>
          <w:ilvl w:val="0"/>
          <w:numId w:val="9"/>
        </w:numPr>
      </w:pPr>
      <w:r>
        <w:t>Provide adequate and protected high needs funding for local authorities to deliver specialist education services which meet the needs of children and young people with vision impairment</w:t>
      </w:r>
      <w:r w:rsidR="008F0B01">
        <w:t>.</w:t>
      </w:r>
    </w:p>
    <w:p w14:paraId="2FD7E152" w14:textId="77777777" w:rsidR="00984594" w:rsidRDefault="00984594" w:rsidP="00984594">
      <w:pPr>
        <w:numPr>
          <w:ilvl w:val="0"/>
          <w:numId w:val="9"/>
        </w:numPr>
      </w:pPr>
      <w:r>
        <w:t xml:space="preserve">Take immediate action to boost the numbers of QTVIs and Qualified Habilitation Specialists. This should include a clear and fully funded plan of action to improve recruitment and opportunities to qualify into the profession, and retention of the current workforce. </w:t>
      </w:r>
    </w:p>
    <w:p w14:paraId="14B4AB3F" w14:textId="77777777" w:rsidR="003607B8" w:rsidRPr="00BD6952" w:rsidRDefault="003607B8" w:rsidP="003607B8"/>
    <w:p w14:paraId="26C5DBEC" w14:textId="3B4F9BCB" w:rsidR="00F52847" w:rsidRPr="00D77DDD" w:rsidRDefault="00F52847" w:rsidP="00D77DDD"/>
    <w:sectPr w:rsidR="00F52847" w:rsidRPr="00D77DDD" w:rsidSect="003607B8">
      <w:headerReference w:type="default" r:id="rId12"/>
      <w:footerReference w:type="default" r:id="rId13"/>
      <w:endnotePr>
        <w:numFmt w:val="decimal"/>
      </w:endnotePr>
      <w:type w:val="continuous"/>
      <w:pgSz w:w="11906" w:h="16838"/>
      <w:pgMar w:top="1440" w:right="1440" w:bottom="1440" w:left="1440" w:header="79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7D4D" w14:textId="77777777" w:rsidR="00296AC7" w:rsidRDefault="00296AC7" w:rsidP="00E539B0">
      <w:r>
        <w:separator/>
      </w:r>
    </w:p>
  </w:endnote>
  <w:endnote w:type="continuationSeparator" w:id="0">
    <w:p w14:paraId="097B1834" w14:textId="77777777" w:rsidR="00296AC7" w:rsidRDefault="00296AC7" w:rsidP="00E539B0">
      <w:r>
        <w:continuationSeparator/>
      </w:r>
    </w:p>
  </w:endnote>
  <w:endnote w:type="continuationNotice" w:id="1">
    <w:p w14:paraId="375C3D49" w14:textId="77777777" w:rsidR="00296AC7" w:rsidRDefault="0029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FC73BD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94E741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6ADF" w14:textId="77777777" w:rsidR="00296AC7" w:rsidRDefault="00296AC7" w:rsidP="00E539B0">
      <w:r>
        <w:separator/>
      </w:r>
    </w:p>
  </w:footnote>
  <w:footnote w:type="continuationSeparator" w:id="0">
    <w:p w14:paraId="493A6595" w14:textId="77777777" w:rsidR="00296AC7" w:rsidRDefault="00296AC7" w:rsidP="00E539B0">
      <w:r>
        <w:continuationSeparator/>
      </w:r>
    </w:p>
  </w:footnote>
  <w:footnote w:type="continuationNotice" w:id="1">
    <w:p w14:paraId="24AD31CE" w14:textId="77777777" w:rsidR="00296AC7" w:rsidRDefault="00296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C171" w14:textId="764340AD" w:rsidR="003607B8" w:rsidRDefault="003607B8">
    <w:pPr>
      <w:pStyle w:val="Header"/>
    </w:pPr>
    <w:r>
      <w:rPr>
        <w:noProof/>
      </w:rPr>
      <w:drawing>
        <wp:anchor distT="0" distB="0" distL="114300" distR="114300" simplePos="0" relativeHeight="251658240" behindDoc="0" locked="1" layoutInCell="1" allowOverlap="0" wp14:anchorId="0D1512C1" wp14:editId="1A6CF02C">
          <wp:simplePos x="0" y="0"/>
          <wp:positionH relativeFrom="column">
            <wp:posOffset>-257175</wp:posOffset>
          </wp:positionH>
          <wp:positionV relativeFrom="page">
            <wp:posOffset>28575</wp:posOffset>
          </wp:positionV>
          <wp:extent cx="1838960" cy="183896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CEAB9" w14:textId="3F35AE5F" w:rsidR="003607B8" w:rsidRDefault="003607B8">
    <w:pPr>
      <w:pStyle w:val="Header"/>
    </w:pPr>
  </w:p>
  <w:p w14:paraId="096F5366" w14:textId="0EDF1E37" w:rsidR="003607B8" w:rsidRDefault="003607B8">
    <w:pPr>
      <w:pStyle w:val="Header"/>
    </w:pPr>
  </w:p>
  <w:p w14:paraId="2096D343" w14:textId="55337C6B" w:rsidR="003607B8" w:rsidRDefault="003607B8">
    <w:pPr>
      <w:pStyle w:val="Header"/>
    </w:pPr>
  </w:p>
  <w:p w14:paraId="3338EEDC" w14:textId="2A304D88" w:rsidR="003607B8" w:rsidRDefault="003607B8">
    <w:pPr>
      <w:pStyle w:val="Header"/>
    </w:pPr>
  </w:p>
  <w:p w14:paraId="1A1B2B8E" w14:textId="77777777" w:rsidR="003607B8" w:rsidRDefault="0036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12AF"/>
    <w:multiLevelType w:val="hybridMultilevel"/>
    <w:tmpl w:val="F7B2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9B52AE"/>
    <w:multiLevelType w:val="hybridMultilevel"/>
    <w:tmpl w:val="50E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3BAE"/>
    <w:multiLevelType w:val="hybridMultilevel"/>
    <w:tmpl w:val="6E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C71A4"/>
    <w:multiLevelType w:val="hybridMultilevel"/>
    <w:tmpl w:val="DFFA1AD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A901177"/>
    <w:multiLevelType w:val="hybridMultilevel"/>
    <w:tmpl w:val="58A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BD4EA4"/>
    <w:multiLevelType w:val="hybridMultilevel"/>
    <w:tmpl w:val="7F0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2100136">
    <w:abstractNumId w:val="1"/>
  </w:num>
  <w:num w:numId="2" w16cid:durableId="1519388588">
    <w:abstractNumId w:val="0"/>
  </w:num>
  <w:num w:numId="3" w16cid:durableId="63795459">
    <w:abstractNumId w:val="9"/>
  </w:num>
  <w:num w:numId="4" w16cid:durableId="1396778510">
    <w:abstractNumId w:val="4"/>
  </w:num>
  <w:num w:numId="5" w16cid:durableId="7295352">
    <w:abstractNumId w:val="12"/>
  </w:num>
  <w:num w:numId="6" w16cid:durableId="2097021000">
    <w:abstractNumId w:val="11"/>
  </w:num>
  <w:num w:numId="7" w16cid:durableId="1865630409">
    <w:abstractNumId w:val="2"/>
  </w:num>
  <w:num w:numId="8" w16cid:durableId="2061435453">
    <w:abstractNumId w:val="8"/>
  </w:num>
  <w:num w:numId="9" w16cid:durableId="586809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606791">
    <w:abstractNumId w:val="5"/>
  </w:num>
  <w:num w:numId="11" w16cid:durableId="898905382">
    <w:abstractNumId w:val="7"/>
  </w:num>
  <w:num w:numId="12" w16cid:durableId="63577359">
    <w:abstractNumId w:val="10"/>
  </w:num>
  <w:num w:numId="13" w16cid:durableId="2054189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AE"/>
    <w:rsid w:val="00013B24"/>
    <w:rsid w:val="00024D75"/>
    <w:rsid w:val="0004364B"/>
    <w:rsid w:val="00052D9A"/>
    <w:rsid w:val="0006620F"/>
    <w:rsid w:val="000676EF"/>
    <w:rsid w:val="00072A79"/>
    <w:rsid w:val="000B5BCF"/>
    <w:rsid w:val="000E6BB4"/>
    <w:rsid w:val="00101178"/>
    <w:rsid w:val="00135776"/>
    <w:rsid w:val="00163F7F"/>
    <w:rsid w:val="00193FA5"/>
    <w:rsid w:val="001D5A85"/>
    <w:rsid w:val="001F2663"/>
    <w:rsid w:val="00211FDC"/>
    <w:rsid w:val="00223201"/>
    <w:rsid w:val="00234679"/>
    <w:rsid w:val="002404CA"/>
    <w:rsid w:val="002539F7"/>
    <w:rsid w:val="0027551F"/>
    <w:rsid w:val="00292F12"/>
    <w:rsid w:val="00296AC7"/>
    <w:rsid w:val="002C0921"/>
    <w:rsid w:val="002C73D1"/>
    <w:rsid w:val="002D7F01"/>
    <w:rsid w:val="0031134D"/>
    <w:rsid w:val="003607B8"/>
    <w:rsid w:val="00361E28"/>
    <w:rsid w:val="00370EA4"/>
    <w:rsid w:val="00372B02"/>
    <w:rsid w:val="003929EF"/>
    <w:rsid w:val="003C79C5"/>
    <w:rsid w:val="003D5C2B"/>
    <w:rsid w:val="004402B4"/>
    <w:rsid w:val="004454D7"/>
    <w:rsid w:val="00453B50"/>
    <w:rsid w:val="004544AF"/>
    <w:rsid w:val="00465B76"/>
    <w:rsid w:val="00470225"/>
    <w:rsid w:val="004768EA"/>
    <w:rsid w:val="004877E6"/>
    <w:rsid w:val="004A5297"/>
    <w:rsid w:val="004D37EC"/>
    <w:rsid w:val="004E0813"/>
    <w:rsid w:val="00510B02"/>
    <w:rsid w:val="005176CD"/>
    <w:rsid w:val="00547EC6"/>
    <w:rsid w:val="0056301E"/>
    <w:rsid w:val="005C3E99"/>
    <w:rsid w:val="005D0E22"/>
    <w:rsid w:val="00606F8C"/>
    <w:rsid w:val="00617685"/>
    <w:rsid w:val="00620C74"/>
    <w:rsid w:val="00627F02"/>
    <w:rsid w:val="00662061"/>
    <w:rsid w:val="006910C9"/>
    <w:rsid w:val="006A219B"/>
    <w:rsid w:val="006B08F0"/>
    <w:rsid w:val="006C4B67"/>
    <w:rsid w:val="006F4BA0"/>
    <w:rsid w:val="00706CEF"/>
    <w:rsid w:val="00740CA7"/>
    <w:rsid w:val="007445D1"/>
    <w:rsid w:val="00746C22"/>
    <w:rsid w:val="00753EED"/>
    <w:rsid w:val="0076073A"/>
    <w:rsid w:val="00763BB8"/>
    <w:rsid w:val="00770C1B"/>
    <w:rsid w:val="0079153D"/>
    <w:rsid w:val="007B5F7B"/>
    <w:rsid w:val="00816E4D"/>
    <w:rsid w:val="00821594"/>
    <w:rsid w:val="00840D15"/>
    <w:rsid w:val="00840EC3"/>
    <w:rsid w:val="008509B9"/>
    <w:rsid w:val="00850FD5"/>
    <w:rsid w:val="008572CA"/>
    <w:rsid w:val="00865811"/>
    <w:rsid w:val="00873579"/>
    <w:rsid w:val="008840AE"/>
    <w:rsid w:val="008B5A06"/>
    <w:rsid w:val="008C32AC"/>
    <w:rsid w:val="008D087C"/>
    <w:rsid w:val="008E537B"/>
    <w:rsid w:val="008F0B01"/>
    <w:rsid w:val="0090564A"/>
    <w:rsid w:val="0092647A"/>
    <w:rsid w:val="00935DE6"/>
    <w:rsid w:val="00984594"/>
    <w:rsid w:val="009A62B1"/>
    <w:rsid w:val="00AF1FAA"/>
    <w:rsid w:val="00B943BB"/>
    <w:rsid w:val="00B95923"/>
    <w:rsid w:val="00BB3186"/>
    <w:rsid w:val="00BD7B3F"/>
    <w:rsid w:val="00C6472E"/>
    <w:rsid w:val="00C71DA8"/>
    <w:rsid w:val="00D10461"/>
    <w:rsid w:val="00D13CE8"/>
    <w:rsid w:val="00D33B99"/>
    <w:rsid w:val="00D609CA"/>
    <w:rsid w:val="00D66094"/>
    <w:rsid w:val="00D77DDD"/>
    <w:rsid w:val="00D9170B"/>
    <w:rsid w:val="00DA0893"/>
    <w:rsid w:val="00DA3DF5"/>
    <w:rsid w:val="00DC2343"/>
    <w:rsid w:val="00DE383E"/>
    <w:rsid w:val="00DE4E5F"/>
    <w:rsid w:val="00DF2B32"/>
    <w:rsid w:val="00DF3E6E"/>
    <w:rsid w:val="00E03A18"/>
    <w:rsid w:val="00E34003"/>
    <w:rsid w:val="00E539B0"/>
    <w:rsid w:val="00E85F2C"/>
    <w:rsid w:val="00E97A5F"/>
    <w:rsid w:val="00EB26CF"/>
    <w:rsid w:val="00EE1D81"/>
    <w:rsid w:val="00F11054"/>
    <w:rsid w:val="00F24B51"/>
    <w:rsid w:val="00F36456"/>
    <w:rsid w:val="00F52847"/>
    <w:rsid w:val="00F5525B"/>
    <w:rsid w:val="00F80906"/>
    <w:rsid w:val="00FA4F0F"/>
    <w:rsid w:val="00FB63A3"/>
    <w:rsid w:val="00FF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136A50"/>
  <w15:chartTrackingRefBased/>
  <w15:docId w15:val="{6282E59A-1213-445A-863D-406FE77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7B8"/>
    <w:rPr>
      <w:rFonts w:ascii="Arial" w:hAnsi="Arial"/>
      <w:sz w:val="28"/>
      <w:lang w:eastAsia="en-US"/>
    </w:rPr>
  </w:style>
  <w:style w:type="paragraph" w:styleId="Heading1">
    <w:name w:val="heading 1"/>
    <w:basedOn w:val="Normal"/>
    <w:next w:val="Normal"/>
    <w:link w:val="Heading1Char"/>
    <w:qFormat/>
    <w:rsid w:val="00617685"/>
    <w:pPr>
      <w:keepNext/>
      <w:spacing w:after="140"/>
      <w:outlineLvl w:val="0"/>
    </w:pPr>
    <w:rPr>
      <w:b/>
      <w:kern w:val="32"/>
      <w:sz w:val="44"/>
      <w:lang w:eastAsia="en-GB"/>
    </w:rPr>
  </w:style>
  <w:style w:type="paragraph" w:styleId="Heading2">
    <w:name w:val="heading 2"/>
    <w:basedOn w:val="Normal"/>
    <w:next w:val="Normal"/>
    <w:link w:val="Heading2Char"/>
    <w:uiPriority w:val="99"/>
    <w:qFormat/>
    <w:rsid w:val="00617685"/>
    <w:pPr>
      <w:keepNext/>
      <w:spacing w:after="120"/>
      <w:outlineLvl w:val="1"/>
    </w:pPr>
    <w:rPr>
      <w:b/>
      <w:sz w:val="36"/>
      <w:lang w:eastAsia="en-GB"/>
    </w:rPr>
  </w:style>
  <w:style w:type="paragraph" w:styleId="Heading3">
    <w:name w:val="heading 3"/>
    <w:basedOn w:val="Normal"/>
    <w:next w:val="Normal"/>
    <w:link w:val="Heading3Char"/>
    <w:qFormat/>
    <w:rsid w:val="00617685"/>
    <w:pPr>
      <w:keepNext/>
      <w:spacing w:after="100"/>
      <w:outlineLvl w:val="2"/>
    </w:pPr>
    <w:rPr>
      <w:b/>
      <w:sz w:val="32"/>
      <w:lang w:eastAsia="en-GB"/>
    </w:rPr>
  </w:style>
  <w:style w:type="paragraph" w:styleId="Heading4">
    <w:name w:val="heading 4"/>
    <w:basedOn w:val="Normal"/>
    <w:next w:val="Normal"/>
    <w:qFormat/>
    <w:rsid w:val="00617685"/>
    <w:pPr>
      <w:keepNext/>
      <w:spacing w:after="80"/>
      <w:outlineLvl w:val="3"/>
    </w:pPr>
    <w:rPr>
      <w:b/>
      <w:lang w:eastAsia="en-GB"/>
    </w:rPr>
  </w:style>
  <w:style w:type="paragraph" w:styleId="Heading5">
    <w:name w:val="heading 5"/>
    <w:basedOn w:val="Normal"/>
    <w:next w:val="Normal"/>
    <w:qFormat/>
    <w:rsid w:val="00617685"/>
    <w:pPr>
      <w:keepNext/>
      <w:spacing w:after="60"/>
      <w:outlineLvl w:val="4"/>
    </w:pPr>
    <w:rPr>
      <w:b/>
      <w:lang w:eastAsia="en-GB"/>
    </w:rPr>
  </w:style>
  <w:style w:type="paragraph" w:styleId="Heading6">
    <w:name w:val="heading 6"/>
    <w:basedOn w:val="Normal"/>
    <w:next w:val="Normal"/>
    <w:qFormat/>
    <w:rsid w:val="00617685"/>
    <w:pPr>
      <w:keepNext/>
      <w:spacing w:after="40"/>
      <w:outlineLvl w:val="5"/>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lang w:eastAsia="en-GB"/>
    </w:rPr>
  </w:style>
  <w:style w:type="paragraph" w:styleId="Quote">
    <w:name w:val="Quote"/>
    <w:basedOn w:val="Normal"/>
    <w:qFormat/>
    <w:rsid w:val="00BB3186"/>
    <w:pPr>
      <w:ind w:left="340" w:right="567"/>
    </w:pPr>
    <w:rPr>
      <w:lang w:eastAsia="en-GB"/>
    </w:rPr>
  </w:style>
  <w:style w:type="paragraph" w:styleId="Caption">
    <w:name w:val="caption"/>
    <w:basedOn w:val="Normal"/>
    <w:next w:val="Normal"/>
    <w:rsid w:val="008C32AC"/>
    <w:rPr>
      <w:b/>
      <w:bCs/>
      <w:lang w:eastAsia="en-GB"/>
    </w:rPr>
  </w:style>
  <w:style w:type="paragraph" w:styleId="ListBullet">
    <w:name w:val="List Bullet"/>
    <w:basedOn w:val="Normal"/>
    <w:qFormat/>
    <w:rsid w:val="00617685"/>
    <w:pPr>
      <w:numPr>
        <w:numId w:val="1"/>
      </w:numPr>
      <w:tabs>
        <w:tab w:val="left" w:pos="567"/>
      </w:tabs>
    </w:pPr>
    <w:rPr>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lang w:eastAsia="en-GB"/>
    </w:rPr>
  </w:style>
  <w:style w:type="paragraph" w:styleId="TableofFigures">
    <w:name w:val="table of figures"/>
    <w:basedOn w:val="Normal"/>
    <w:next w:val="Normal"/>
    <w:semiHidden/>
    <w:rsid w:val="00F52847"/>
    <w:rPr>
      <w:lang w:eastAsia="en-GB"/>
    </w:rPr>
  </w:style>
  <w:style w:type="paragraph" w:styleId="EndnoteText">
    <w:name w:val="endnote text"/>
    <w:basedOn w:val="Normal"/>
    <w:link w:val="EndnoteTextChar"/>
    <w:rsid w:val="004877E6"/>
    <w:rPr>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qForma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3607B8"/>
    <w:rPr>
      <w:rFonts w:ascii="Arial" w:hAnsi="Arial"/>
      <w:b/>
      <w:kern w:val="32"/>
      <w:sz w:val="44"/>
    </w:rPr>
  </w:style>
  <w:style w:type="character" w:customStyle="1" w:styleId="Heading2Char">
    <w:name w:val="Heading 2 Char"/>
    <w:basedOn w:val="DefaultParagraphFont"/>
    <w:link w:val="Heading2"/>
    <w:uiPriority w:val="99"/>
    <w:rsid w:val="003607B8"/>
    <w:rPr>
      <w:rFonts w:ascii="Arial" w:hAnsi="Arial"/>
      <w:b/>
      <w:sz w:val="36"/>
    </w:rPr>
  </w:style>
  <w:style w:type="character" w:customStyle="1" w:styleId="Heading3Char">
    <w:name w:val="Heading 3 Char"/>
    <w:basedOn w:val="DefaultParagraphFont"/>
    <w:link w:val="Heading3"/>
    <w:rsid w:val="003607B8"/>
    <w:rPr>
      <w:rFonts w:ascii="Arial" w:hAnsi="Arial"/>
      <w:b/>
      <w:sz w:val="32"/>
    </w:rPr>
  </w:style>
  <w:style w:type="table" w:styleId="TableGrid">
    <w:name w:val="Table Grid"/>
    <w:basedOn w:val="TableNormal"/>
    <w:rsid w:val="0036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607B8"/>
    <w:pPr>
      <w:tabs>
        <w:tab w:val="right" w:leader="dot" w:pos="9016"/>
      </w:tabs>
      <w:spacing w:after="100"/>
    </w:pPr>
  </w:style>
  <w:style w:type="paragraph" w:styleId="TOC2">
    <w:name w:val="toc 2"/>
    <w:basedOn w:val="Normal"/>
    <w:next w:val="Normal"/>
    <w:autoRedefine/>
    <w:uiPriority w:val="39"/>
    <w:unhideWhenUsed/>
    <w:rsid w:val="003607B8"/>
    <w:pPr>
      <w:tabs>
        <w:tab w:val="right" w:leader="dot" w:pos="9060"/>
      </w:tabs>
      <w:spacing w:after="100"/>
    </w:pPr>
  </w:style>
  <w:style w:type="character" w:styleId="CommentReference">
    <w:name w:val="annotation reference"/>
    <w:basedOn w:val="DefaultParagraphFont"/>
    <w:uiPriority w:val="99"/>
    <w:semiHidden/>
    <w:unhideWhenUsed/>
    <w:rsid w:val="003607B8"/>
    <w:rPr>
      <w:sz w:val="16"/>
      <w:szCs w:val="16"/>
    </w:rPr>
  </w:style>
  <w:style w:type="paragraph" w:styleId="CommentText">
    <w:name w:val="annotation text"/>
    <w:basedOn w:val="Normal"/>
    <w:link w:val="CommentTextChar"/>
    <w:uiPriority w:val="99"/>
    <w:semiHidden/>
    <w:unhideWhenUsed/>
    <w:rsid w:val="003607B8"/>
    <w:rPr>
      <w:sz w:val="20"/>
    </w:rPr>
  </w:style>
  <w:style w:type="character" w:customStyle="1" w:styleId="CommentTextChar">
    <w:name w:val="Comment Text Char"/>
    <w:basedOn w:val="DefaultParagraphFont"/>
    <w:link w:val="CommentText"/>
    <w:uiPriority w:val="99"/>
    <w:semiHidden/>
    <w:rsid w:val="003607B8"/>
    <w:rPr>
      <w:rFonts w:ascii="Arial" w:hAnsi="Arial"/>
      <w:lang w:eastAsia="en-US"/>
    </w:rPr>
  </w:style>
  <w:style w:type="character" w:styleId="Mention">
    <w:name w:val="Mention"/>
    <w:basedOn w:val="DefaultParagraphFont"/>
    <w:uiPriority w:val="99"/>
    <w:unhideWhenUsed/>
    <w:rsid w:val="003607B8"/>
    <w:rPr>
      <w:color w:val="2B579A"/>
      <w:shd w:val="clear" w:color="auto" w:fill="E1DFDD"/>
    </w:rPr>
  </w:style>
  <w:style w:type="paragraph" w:styleId="ListParagraph">
    <w:name w:val="List Paragraph"/>
    <w:basedOn w:val="Normal"/>
    <w:uiPriority w:val="34"/>
    <w:rsid w:val="00EE1D81"/>
    <w:pPr>
      <w:ind w:left="720"/>
      <w:contextualSpacing/>
    </w:pPr>
  </w:style>
  <w:style w:type="paragraph" w:styleId="CommentSubject">
    <w:name w:val="annotation subject"/>
    <w:basedOn w:val="CommentText"/>
    <w:next w:val="CommentText"/>
    <w:link w:val="CommentSubjectChar"/>
    <w:semiHidden/>
    <w:unhideWhenUsed/>
    <w:rsid w:val="00DC2343"/>
    <w:rPr>
      <w:b/>
      <w:bCs/>
    </w:rPr>
  </w:style>
  <w:style w:type="character" w:customStyle="1" w:styleId="CommentSubjectChar">
    <w:name w:val="Comment Subject Char"/>
    <w:basedOn w:val="CommentTextChar"/>
    <w:link w:val="CommentSubject"/>
    <w:semiHidden/>
    <w:rsid w:val="00DC2343"/>
    <w:rPr>
      <w:rFonts w:ascii="Arial" w:hAnsi="Arial"/>
      <w:b/>
      <w:bCs/>
      <w:lang w:eastAsia="en-US"/>
    </w:rPr>
  </w:style>
  <w:style w:type="character" w:styleId="UnresolvedMention">
    <w:name w:val="Unresolved Mention"/>
    <w:basedOn w:val="DefaultParagraphFont"/>
    <w:uiPriority w:val="99"/>
    <w:unhideWhenUsed/>
    <w:rsid w:val="00F3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62394">
      <w:bodyDiv w:val="1"/>
      <w:marLeft w:val="0"/>
      <w:marRight w:val="0"/>
      <w:marTop w:val="0"/>
      <w:marBottom w:val="0"/>
      <w:divBdr>
        <w:top w:val="none" w:sz="0" w:space="0" w:color="auto"/>
        <w:left w:val="none" w:sz="0" w:space="0" w:color="auto"/>
        <w:bottom w:val="none" w:sz="0" w:space="0" w:color="auto"/>
        <w:right w:val="none" w:sz="0" w:space="0" w:color="auto"/>
      </w:divBdr>
    </w:div>
    <w:div w:id="357125720">
      <w:bodyDiv w:val="1"/>
      <w:marLeft w:val="0"/>
      <w:marRight w:val="0"/>
      <w:marTop w:val="0"/>
      <w:marBottom w:val="0"/>
      <w:divBdr>
        <w:top w:val="none" w:sz="0" w:space="0" w:color="auto"/>
        <w:left w:val="none" w:sz="0" w:space="0" w:color="auto"/>
        <w:bottom w:val="none" w:sz="0" w:space="0" w:color="auto"/>
        <w:right w:val="none" w:sz="0" w:space="0" w:color="auto"/>
      </w:divBdr>
    </w:div>
    <w:div w:id="1183785010">
      <w:bodyDiv w:val="1"/>
      <w:marLeft w:val="0"/>
      <w:marRight w:val="0"/>
      <w:marTop w:val="0"/>
      <w:marBottom w:val="0"/>
      <w:divBdr>
        <w:top w:val="none" w:sz="0" w:space="0" w:color="auto"/>
        <w:left w:val="none" w:sz="0" w:space="0" w:color="auto"/>
        <w:bottom w:val="none" w:sz="0" w:space="0" w:color="auto"/>
        <w:right w:val="none" w:sz="0" w:space="0" w:color="auto"/>
      </w:divBdr>
    </w:div>
    <w:div w:id="124742016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education-professionals/launch-new-uk-specialist-vi-curriculum-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4BAEE6CB5DD44B1E681B8526F89B2" ma:contentTypeVersion="6" ma:contentTypeDescription="Create a new document." ma:contentTypeScope="" ma:versionID="58b987a6b3bdc08faa57daf6ed073742">
  <xsd:schema xmlns:xsd="http://www.w3.org/2001/XMLSchema" xmlns:xs="http://www.w3.org/2001/XMLSchema" xmlns:p="http://schemas.microsoft.com/office/2006/metadata/properties" xmlns:ns2="fae345b2-99e3-4556-ae3e-0d7aff01b711" xmlns:ns3="ce0755c2-a059-4ab1-89a9-6a03ab3faaa4" targetNamespace="http://schemas.microsoft.com/office/2006/metadata/properties" ma:root="true" ma:fieldsID="39e01f6368386cdca1548bb36b4d318c" ns2:_="" ns3:_="">
    <xsd:import namespace="fae345b2-99e3-4556-ae3e-0d7aff01b711"/>
    <xsd:import namespace="ce0755c2-a059-4ab1-89a9-6a03ab3fa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45b2-99e3-4556-ae3e-0d7aff01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755c2-a059-4ab1-89a9-6a03ab3fa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0755c2-a059-4ab1-89a9-6a03ab3faaa4">
      <UserInfo>
        <DisplayName>Caireen Sutherland</DisplayName>
        <AccountId>12</AccountId>
        <AccountType/>
      </UserInfo>
      <UserInfo>
        <DisplayName>Emma Edwards</DisplayName>
        <AccountId>7</AccountId>
        <AccountType/>
      </UserInfo>
      <UserInfo>
        <DisplayName>Jas Bhangoo</DisplayName>
        <AccountId>14</AccountId>
        <AccountType/>
      </UserInfo>
      <UserInfo>
        <DisplayName>Rosaleen Dempsey</DisplayName>
        <AccountId>25</AccountId>
        <AccountType/>
      </UserInfo>
      <UserInfo>
        <DisplayName>Catriona Burness</DisplayName>
        <AccountId>26</AccountId>
        <AccountType/>
      </UserInfo>
      <UserInfo>
        <DisplayName>James Adams</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customXml/itemProps2.xml><?xml version="1.0" encoding="utf-8"?>
<ds:datastoreItem xmlns:ds="http://schemas.openxmlformats.org/officeDocument/2006/customXml" ds:itemID="{64B26154-9E8F-4E3A-8D33-6A87A8BF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345b2-99e3-4556-ae3e-0d7aff01b711"/>
    <ds:schemaRef ds:uri="ce0755c2-a059-4ab1-89a9-6a03ab3f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F9B96-CF6D-473D-BD2A-AA63F840A427}">
  <ds:schemaRefs>
    <ds:schemaRef ds:uri="http://schemas.microsoft.com/office/2006/metadata/properties"/>
    <ds:schemaRef ds:uri="http://schemas.microsoft.com/office/infopath/2007/PartnerControls"/>
    <ds:schemaRef ds:uri="ce0755c2-a059-4ab1-89a9-6a03ab3faaa4"/>
  </ds:schemaRefs>
</ds:datastoreItem>
</file>

<file path=customXml/itemProps4.xml><?xml version="1.0" encoding="utf-8"?>
<ds:datastoreItem xmlns:ds="http://schemas.openxmlformats.org/officeDocument/2006/customXml" ds:itemID="{303C01C1-E572-4277-BF3A-ADD141476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2195</Words>
  <Characters>12772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Links>
    <vt:vector size="84" baseType="variant">
      <vt:variant>
        <vt:i4>3538987</vt:i4>
      </vt:variant>
      <vt:variant>
        <vt:i4>63</vt:i4>
      </vt:variant>
      <vt:variant>
        <vt:i4>0</vt:i4>
      </vt:variant>
      <vt:variant>
        <vt:i4>5</vt:i4>
      </vt:variant>
      <vt:variant>
        <vt:lpwstr>https://www.rnib.org.uk/professionals/education-professionals/launch-new-uk-specialist-vi-curriculum-framework</vt:lpwstr>
      </vt:variant>
      <vt:variant>
        <vt:lpwstr/>
      </vt:variant>
      <vt:variant>
        <vt:i4>1769526</vt:i4>
      </vt:variant>
      <vt:variant>
        <vt:i4>56</vt:i4>
      </vt:variant>
      <vt:variant>
        <vt:i4>0</vt:i4>
      </vt:variant>
      <vt:variant>
        <vt:i4>5</vt:i4>
      </vt:variant>
      <vt:variant>
        <vt:lpwstr/>
      </vt:variant>
      <vt:variant>
        <vt:lpwstr>_Toc103952179</vt:lpwstr>
      </vt:variant>
      <vt:variant>
        <vt:i4>1769526</vt:i4>
      </vt:variant>
      <vt:variant>
        <vt:i4>50</vt:i4>
      </vt:variant>
      <vt:variant>
        <vt:i4>0</vt:i4>
      </vt:variant>
      <vt:variant>
        <vt:i4>5</vt:i4>
      </vt:variant>
      <vt:variant>
        <vt:lpwstr/>
      </vt:variant>
      <vt:variant>
        <vt:lpwstr>_Toc103952178</vt:lpwstr>
      </vt:variant>
      <vt:variant>
        <vt:i4>1769526</vt:i4>
      </vt:variant>
      <vt:variant>
        <vt:i4>44</vt:i4>
      </vt:variant>
      <vt:variant>
        <vt:i4>0</vt:i4>
      </vt:variant>
      <vt:variant>
        <vt:i4>5</vt:i4>
      </vt:variant>
      <vt:variant>
        <vt:lpwstr/>
      </vt:variant>
      <vt:variant>
        <vt:lpwstr>_Toc103952177</vt:lpwstr>
      </vt:variant>
      <vt:variant>
        <vt:i4>1769526</vt:i4>
      </vt:variant>
      <vt:variant>
        <vt:i4>38</vt:i4>
      </vt:variant>
      <vt:variant>
        <vt:i4>0</vt:i4>
      </vt:variant>
      <vt:variant>
        <vt:i4>5</vt:i4>
      </vt:variant>
      <vt:variant>
        <vt:lpwstr/>
      </vt:variant>
      <vt:variant>
        <vt:lpwstr>_Toc103952176</vt:lpwstr>
      </vt:variant>
      <vt:variant>
        <vt:i4>1769526</vt:i4>
      </vt:variant>
      <vt:variant>
        <vt:i4>32</vt:i4>
      </vt:variant>
      <vt:variant>
        <vt:i4>0</vt:i4>
      </vt:variant>
      <vt:variant>
        <vt:i4>5</vt:i4>
      </vt:variant>
      <vt:variant>
        <vt:lpwstr/>
      </vt:variant>
      <vt:variant>
        <vt:lpwstr>_Toc103952175</vt:lpwstr>
      </vt:variant>
      <vt:variant>
        <vt:i4>1769526</vt:i4>
      </vt:variant>
      <vt:variant>
        <vt:i4>26</vt:i4>
      </vt:variant>
      <vt:variant>
        <vt:i4>0</vt:i4>
      </vt:variant>
      <vt:variant>
        <vt:i4>5</vt:i4>
      </vt:variant>
      <vt:variant>
        <vt:lpwstr/>
      </vt:variant>
      <vt:variant>
        <vt:lpwstr>_Toc103952174</vt:lpwstr>
      </vt:variant>
      <vt:variant>
        <vt:i4>1769526</vt:i4>
      </vt:variant>
      <vt:variant>
        <vt:i4>20</vt:i4>
      </vt:variant>
      <vt:variant>
        <vt:i4>0</vt:i4>
      </vt:variant>
      <vt:variant>
        <vt:i4>5</vt:i4>
      </vt:variant>
      <vt:variant>
        <vt:lpwstr/>
      </vt:variant>
      <vt:variant>
        <vt:lpwstr>_Toc103952173</vt:lpwstr>
      </vt:variant>
      <vt:variant>
        <vt:i4>1769526</vt:i4>
      </vt:variant>
      <vt:variant>
        <vt:i4>14</vt:i4>
      </vt:variant>
      <vt:variant>
        <vt:i4>0</vt:i4>
      </vt:variant>
      <vt:variant>
        <vt:i4>5</vt:i4>
      </vt:variant>
      <vt:variant>
        <vt:lpwstr/>
      </vt:variant>
      <vt:variant>
        <vt:lpwstr>_Toc103952172</vt:lpwstr>
      </vt:variant>
      <vt:variant>
        <vt:i4>1769526</vt:i4>
      </vt:variant>
      <vt:variant>
        <vt:i4>8</vt:i4>
      </vt:variant>
      <vt:variant>
        <vt:i4>0</vt:i4>
      </vt:variant>
      <vt:variant>
        <vt:i4>5</vt:i4>
      </vt:variant>
      <vt:variant>
        <vt:lpwstr/>
      </vt:variant>
      <vt:variant>
        <vt:lpwstr>_Toc103952171</vt:lpwstr>
      </vt:variant>
      <vt:variant>
        <vt:i4>1769526</vt:i4>
      </vt:variant>
      <vt:variant>
        <vt:i4>2</vt:i4>
      </vt:variant>
      <vt:variant>
        <vt:i4>0</vt:i4>
      </vt:variant>
      <vt:variant>
        <vt:i4>5</vt:i4>
      </vt:variant>
      <vt:variant>
        <vt:lpwstr/>
      </vt:variant>
      <vt:variant>
        <vt:lpwstr>_Toc103952170</vt:lpwstr>
      </vt:variant>
      <vt:variant>
        <vt:i4>3276817</vt:i4>
      </vt:variant>
      <vt:variant>
        <vt:i4>6</vt:i4>
      </vt:variant>
      <vt:variant>
        <vt:i4>0</vt:i4>
      </vt:variant>
      <vt:variant>
        <vt:i4>5</vt:i4>
      </vt:variant>
      <vt:variant>
        <vt:lpwstr>mailto:Caireen.Sutherland@rnib.org.uk</vt:lpwstr>
      </vt:variant>
      <vt:variant>
        <vt:lpwstr/>
      </vt:variant>
      <vt:variant>
        <vt:i4>327717</vt:i4>
      </vt:variant>
      <vt:variant>
        <vt:i4>3</vt:i4>
      </vt:variant>
      <vt:variant>
        <vt:i4>0</vt:i4>
      </vt:variant>
      <vt:variant>
        <vt:i4>5</vt:i4>
      </vt:variant>
      <vt:variant>
        <vt:lpwstr>mailto:Rosaleen.Dempsey@rnib.org.uk</vt:lpwstr>
      </vt:variant>
      <vt:variant>
        <vt:lpwstr/>
      </vt:variant>
      <vt:variant>
        <vt:i4>1703976</vt:i4>
      </vt:variant>
      <vt:variant>
        <vt:i4>0</vt:i4>
      </vt:variant>
      <vt:variant>
        <vt:i4>0</vt:i4>
      </vt:variant>
      <vt:variant>
        <vt:i4>5</vt:i4>
      </vt:variant>
      <vt:variant>
        <vt:lpwstr>mailto:Jaspreet.Bhangoo@rnib.org.uk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Robin Kaye</cp:lastModifiedBy>
  <cp:revision>2</cp:revision>
  <dcterms:created xsi:type="dcterms:W3CDTF">2023-04-24T12:31:00Z</dcterms:created>
  <dcterms:modified xsi:type="dcterms:W3CDTF">2023-04-24T12:31:00Z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0x010100A2D4BAEE6CB5DD44B1E681B8526F89B2</vt:lpwstr>
  </property>
</Properties>
</file>