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DFC74" w14:textId="2F72D8C8" w:rsidR="00E16B8D" w:rsidRPr="00F46E03" w:rsidRDefault="009C3B50" w:rsidP="000A0327">
      <w:pPr>
        <w:pStyle w:val="Title"/>
      </w:pPr>
      <w:bookmarkStart w:id="0" w:name="_Hlk481577945"/>
      <w:bookmarkStart w:id="1" w:name="_GoBack"/>
      <w:bookmarkEnd w:id="0"/>
      <w:bookmarkEnd w:id="1"/>
      <w:r>
        <w:rPr>
          <w:noProof/>
          <w:lang w:eastAsia="en-GB"/>
        </w:rPr>
        <w:drawing>
          <wp:anchor distT="0" distB="720090" distL="114300" distR="114300" simplePos="0" relativeHeight="251658241" behindDoc="0" locked="0" layoutInCell="1" allowOverlap="1" wp14:anchorId="1AAAB6BC" wp14:editId="75E463BE">
            <wp:simplePos x="0" y="0"/>
            <wp:positionH relativeFrom="page">
              <wp:posOffset>1002030</wp:posOffset>
            </wp:positionH>
            <wp:positionV relativeFrom="paragraph">
              <wp:posOffset>137160</wp:posOffset>
            </wp:positionV>
            <wp:extent cx="6161405" cy="1383665"/>
            <wp:effectExtent l="0" t="0" r="0" b="6985"/>
            <wp:wrapTopAndBottom/>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M banner.png"/>
                    <pic:cNvPicPr/>
                  </pic:nvPicPr>
                  <pic:blipFill>
                    <a:blip r:embed="rId12">
                      <a:extLst>
                        <a:ext uri="{28A0092B-C50C-407E-A947-70E740481C1C}">
                          <a14:useLocalDpi xmlns:a14="http://schemas.microsoft.com/office/drawing/2010/main" val="0"/>
                        </a:ext>
                      </a:extLst>
                    </a:blip>
                    <a:stretch>
                      <a:fillRect/>
                    </a:stretch>
                  </pic:blipFill>
                  <pic:spPr>
                    <a:xfrm>
                      <a:off x="0" y="0"/>
                      <a:ext cx="6161405" cy="1383665"/>
                    </a:xfrm>
                    <a:prstGeom prst="rect">
                      <a:avLst/>
                    </a:prstGeom>
                    <a:ln>
                      <a:noFill/>
                    </a:ln>
                  </pic:spPr>
                </pic:pic>
              </a:graphicData>
            </a:graphic>
            <wp14:sizeRelH relativeFrom="margin">
              <wp14:pctWidth>0</wp14:pctWidth>
            </wp14:sizeRelH>
            <wp14:sizeRelV relativeFrom="margin">
              <wp14:pctHeight>0</wp14:pctHeight>
            </wp14:sizeRelV>
          </wp:anchor>
        </w:drawing>
      </w:r>
      <w:sdt>
        <w:sdtPr>
          <w:alias w:val="Title"/>
          <w:id w:val="9811940"/>
          <w:placeholder>
            <w:docPart w:val="9A8B19D7C90D4655BB5B97DA5BFBBC4E"/>
          </w:placeholder>
          <w:dataBinding w:prefixMappings="xmlns:ns0='http://purl.org/dc/elements/1.1/' xmlns:ns1='http://schemas.openxmlformats.org/package/2006/metadata/core-properties' " w:xpath="/ns1:coreProperties[1]/ns0:title[1]" w:storeItemID="{6C3C8BC8-F283-45AE-878A-BAB7291924A1}"/>
          <w:text/>
        </w:sdtPr>
        <w:sdtEndPr/>
        <w:sdtContent>
          <w:r w:rsidR="0079417C" w:rsidRPr="00F46E03">
            <w:t>Demonstrating the impact and value of vision rehabilitation</w:t>
          </w:r>
        </w:sdtContent>
      </w:sdt>
    </w:p>
    <w:p w14:paraId="6FBEF802" w14:textId="77777777" w:rsidR="00CD0803" w:rsidRPr="00F46E03" w:rsidRDefault="00D32912" w:rsidP="00F46E03">
      <w:pPr>
        <w:pStyle w:val="Subtitle"/>
      </w:pPr>
      <w:sdt>
        <w:sdtPr>
          <w:alias w:val="Subject"/>
          <w:id w:val="4115216"/>
          <w:placeholder>
            <w:docPart w:val="12604C12009540878CDD3AAA319B5CD3"/>
          </w:placeholder>
          <w:dataBinding w:prefixMappings="xmlns:ns0='http://purl.org/dc/elements/1.1/' xmlns:ns1='http://schemas.openxmlformats.org/package/2006/metadata/core-properties' " w:xpath="/ns1:coreProperties[1]/ns0:subject[1]" w:storeItemID="{6C3C8BC8-F283-45AE-878A-BAB7291924A1}"/>
          <w:text/>
        </w:sdtPr>
        <w:sdtEndPr/>
        <w:sdtContent>
          <w:r w:rsidR="007A22C9" w:rsidRPr="00F46E03">
            <w:t>A report to RNIB</w:t>
          </w:r>
        </w:sdtContent>
      </w:sdt>
    </w:p>
    <w:p w14:paraId="0C1B82B2" w14:textId="05F89632" w:rsidR="007E4FB3" w:rsidRPr="00690FBA" w:rsidRDefault="009E1C18" w:rsidP="00690FBA">
      <w:pPr>
        <w:pStyle w:val="Subtitle"/>
      </w:pPr>
      <w:r>
        <w:t>August</w:t>
      </w:r>
      <w:r w:rsidR="00CD0803" w:rsidRPr="00F46E03">
        <w:t xml:space="preserve"> 2017</w:t>
      </w:r>
      <w:r w:rsidR="00B423FA" w:rsidRPr="00CD0803">
        <w:tab/>
      </w:r>
    </w:p>
    <w:p w14:paraId="1F9AA419" w14:textId="40BDFDDE" w:rsidR="009E30C8" w:rsidRPr="00690FBA" w:rsidRDefault="009F7D7E" w:rsidP="00690FBA">
      <w:pPr>
        <w:spacing w:before="0"/>
        <w:rPr>
          <w:highlight w:val="yellow"/>
        </w:rPr>
      </w:pPr>
      <w:r>
        <w:br w:type="page"/>
      </w:r>
    </w:p>
    <w:tbl>
      <w:tblPr>
        <w:tblStyle w:val="OPMTableStyle1"/>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686"/>
      </w:tblGrid>
      <w:tr w:rsidR="00CC3037" w:rsidRPr="00CC3037" w14:paraId="4D35EB5F" w14:textId="77777777" w:rsidTr="00CC30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tcPr>
          <w:p w14:paraId="0A960B35" w14:textId="77777777" w:rsidR="009E30C8" w:rsidRPr="00CC3037" w:rsidRDefault="009E30C8" w:rsidP="00474B91">
            <w:pPr>
              <w:pStyle w:val="Smalltext10pt"/>
              <w:spacing w:line="240" w:lineRule="auto"/>
              <w:rPr>
                <w:color w:val="auto"/>
                <w:sz w:val="28"/>
                <w:szCs w:val="28"/>
              </w:rPr>
            </w:pPr>
            <w:r w:rsidRPr="00CC3037">
              <w:rPr>
                <w:color w:val="auto"/>
                <w:sz w:val="28"/>
                <w:szCs w:val="28"/>
              </w:rPr>
              <w:lastRenderedPageBreak/>
              <w:t>Client</w:t>
            </w:r>
            <w:r w:rsidRPr="00CC3037">
              <w:rPr>
                <w:color w:val="auto"/>
                <w:sz w:val="28"/>
                <w:szCs w:val="28"/>
              </w:rPr>
              <w:tab/>
            </w:r>
          </w:p>
        </w:tc>
        <w:tc>
          <w:tcPr>
            <w:tcW w:w="3686" w:type="dxa"/>
            <w:shd w:val="clear" w:color="auto" w:fill="auto"/>
          </w:tcPr>
          <w:p w14:paraId="3938A59B" w14:textId="07BBE104" w:rsidR="009E30C8" w:rsidRPr="00CC3037" w:rsidRDefault="007A22C9" w:rsidP="00474B91">
            <w:pPr>
              <w:pStyle w:val="Smalltext10pt"/>
              <w:spacing w:line="240" w:lineRule="auto"/>
              <w:cnfStyle w:val="100000000000" w:firstRow="1" w:lastRow="0" w:firstColumn="0" w:lastColumn="0" w:oddVBand="0" w:evenVBand="0" w:oddHBand="0" w:evenHBand="0" w:firstRowFirstColumn="0" w:firstRowLastColumn="0" w:lastRowFirstColumn="0" w:lastRowLastColumn="0"/>
              <w:rPr>
                <w:b w:val="0"/>
                <w:color w:val="auto"/>
                <w:sz w:val="28"/>
                <w:szCs w:val="28"/>
              </w:rPr>
            </w:pPr>
            <w:r w:rsidRPr="00CC3037">
              <w:rPr>
                <w:b w:val="0"/>
                <w:color w:val="auto"/>
                <w:sz w:val="28"/>
                <w:szCs w:val="28"/>
              </w:rPr>
              <w:t>RNIB</w:t>
            </w:r>
          </w:p>
        </w:tc>
      </w:tr>
      <w:tr w:rsidR="00CC3037" w:rsidRPr="00CC3037" w14:paraId="24073F98" w14:textId="77777777" w:rsidTr="00CC3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tcPr>
          <w:p w14:paraId="289380F7" w14:textId="77777777" w:rsidR="00BD08C3" w:rsidRPr="00CC3037" w:rsidRDefault="00BD08C3" w:rsidP="00474B91">
            <w:pPr>
              <w:pStyle w:val="Smalltext10pt"/>
              <w:spacing w:line="240" w:lineRule="auto"/>
              <w:rPr>
                <w:color w:val="auto"/>
                <w:sz w:val="28"/>
                <w:szCs w:val="28"/>
              </w:rPr>
            </w:pPr>
            <w:r w:rsidRPr="00CC3037">
              <w:rPr>
                <w:color w:val="auto"/>
                <w:sz w:val="28"/>
                <w:szCs w:val="28"/>
              </w:rPr>
              <w:t>Company</w:t>
            </w:r>
          </w:p>
        </w:tc>
        <w:tc>
          <w:tcPr>
            <w:tcW w:w="3686" w:type="dxa"/>
            <w:shd w:val="clear" w:color="auto" w:fill="auto"/>
          </w:tcPr>
          <w:p w14:paraId="3DC75B52" w14:textId="54720A6A" w:rsidR="00BD08C3" w:rsidRPr="00CC3037" w:rsidRDefault="00D32912" w:rsidP="00474B91">
            <w:pPr>
              <w:pStyle w:val="Smalltext10pt"/>
              <w:spacing w:line="240" w:lineRule="auto"/>
              <w:cnfStyle w:val="000000100000" w:firstRow="0" w:lastRow="0" w:firstColumn="0" w:lastColumn="0" w:oddVBand="0" w:evenVBand="0" w:oddHBand="1" w:evenHBand="0" w:firstRowFirstColumn="0" w:firstRowLastColumn="0" w:lastRowFirstColumn="0" w:lastRowLastColumn="0"/>
              <w:rPr>
                <w:color w:val="auto"/>
                <w:sz w:val="28"/>
                <w:szCs w:val="28"/>
              </w:rPr>
            </w:pPr>
            <w:sdt>
              <w:sdtPr>
                <w:rPr>
                  <w:sz w:val="28"/>
                  <w:szCs w:val="28"/>
                </w:rPr>
                <w:alias w:val="Company"/>
                <w:id w:val="4115214"/>
                <w:placeholder>
                  <w:docPart w:val="DE3CA8F42AAC43E4A210F40BBE956EFB"/>
                </w:placeholder>
                <w:dataBinding w:prefixMappings="xmlns:ns0='http://schemas.openxmlformats.org/officeDocument/2006/extended-properties' " w:xpath="/ns0:Properties[1]/ns0:Company[1]" w:storeItemID="{6668398D-A668-4E3E-A5EB-62B293D839F1}"/>
                <w:text/>
              </w:sdtPr>
              <w:sdtEndPr/>
              <w:sdtContent>
                <w:r w:rsidR="00802B19">
                  <w:rPr>
                    <w:sz w:val="28"/>
                    <w:szCs w:val="28"/>
                  </w:rPr>
                  <w:t>OPM Group</w:t>
                </w:r>
              </w:sdtContent>
            </w:sdt>
          </w:p>
        </w:tc>
      </w:tr>
      <w:tr w:rsidR="00CC3037" w:rsidRPr="00CC3037" w14:paraId="2B2433D3" w14:textId="77777777" w:rsidTr="5B4A19E4">
        <w:tc>
          <w:tcPr>
            <w:cnfStyle w:val="001000000000" w:firstRow="0" w:lastRow="0" w:firstColumn="1" w:lastColumn="0" w:oddVBand="0" w:evenVBand="0" w:oddHBand="0" w:evenHBand="0" w:firstRowFirstColumn="0" w:firstRowLastColumn="0" w:lastRowFirstColumn="0" w:lastRowLastColumn="0"/>
            <w:tcW w:w="2551" w:type="dxa"/>
            <w:shd w:val="clear" w:color="auto" w:fill="auto"/>
          </w:tcPr>
          <w:p w14:paraId="451F65C9" w14:textId="77777777" w:rsidR="009E30C8" w:rsidRPr="00CC3037" w:rsidRDefault="009E30C8" w:rsidP="00474B91">
            <w:pPr>
              <w:pStyle w:val="Smalltext10pt"/>
              <w:spacing w:line="240" w:lineRule="auto"/>
              <w:rPr>
                <w:color w:val="auto"/>
                <w:sz w:val="28"/>
                <w:szCs w:val="28"/>
              </w:rPr>
            </w:pPr>
            <w:r w:rsidRPr="00CC3037">
              <w:rPr>
                <w:color w:val="auto"/>
                <w:sz w:val="28"/>
                <w:szCs w:val="28"/>
              </w:rPr>
              <w:t>Title</w:t>
            </w:r>
          </w:p>
        </w:tc>
        <w:tc>
          <w:tcPr>
            <w:tcW w:w="3686" w:type="dxa"/>
            <w:shd w:val="clear" w:color="auto" w:fill="auto"/>
          </w:tcPr>
          <w:sdt>
            <w:sdtPr>
              <w:rPr>
                <w:sz w:val="28"/>
                <w:szCs w:val="28"/>
              </w:rPr>
              <w:alias w:val="Title"/>
              <w:id w:val="-512682575"/>
              <w:placeholder>
                <w:docPart w:val="AF6369F174414A0EBA53F4C67C126A5A"/>
              </w:placeholder>
              <w:dataBinding w:prefixMappings="xmlns:ns0='http://purl.org/dc/elements/1.1/' xmlns:ns1='http://schemas.openxmlformats.org/package/2006/metadata/core-properties' " w:xpath="/ns1:coreProperties[1]/ns0:title[1]" w:storeItemID="{6C3C8BC8-F283-45AE-878A-BAB7291924A1}"/>
              <w:text/>
            </w:sdtPr>
            <w:sdtEndPr/>
            <w:sdtContent>
              <w:p w14:paraId="3D6C6F37" w14:textId="77777777" w:rsidR="009E30C8" w:rsidRPr="00CC3037" w:rsidRDefault="5B4A19E4" w:rsidP="5B4A19E4">
                <w:pPr>
                  <w:pStyle w:val="Smalltext10pt"/>
                  <w:spacing w:line="240" w:lineRule="auto"/>
                  <w:cnfStyle w:val="000000000000" w:firstRow="0" w:lastRow="0" w:firstColumn="0" w:lastColumn="0" w:oddVBand="0" w:evenVBand="0" w:oddHBand="0" w:evenHBand="0" w:firstRowFirstColumn="0" w:firstRowLastColumn="0" w:lastRowFirstColumn="0" w:lastRowLastColumn="0"/>
                  <w:rPr>
                    <w:color w:val="auto"/>
                    <w:sz w:val="28"/>
                    <w:szCs w:val="28"/>
                  </w:rPr>
                </w:pPr>
                <w:r w:rsidRPr="5B4A19E4">
                  <w:rPr>
                    <w:color w:val="auto"/>
                    <w:sz w:val="28"/>
                    <w:szCs w:val="28"/>
                    <w:lang w:val="en-GB"/>
                  </w:rPr>
                  <w:t>Demonstrating the impact and value of vision rehabilitation</w:t>
                </w:r>
              </w:p>
            </w:sdtContent>
          </w:sdt>
          <w:p w14:paraId="424E499F" w14:textId="77777777" w:rsidR="00FC0A29" w:rsidRDefault="00FC0A29" w:rsidP="5B4A19E4">
            <w:pPr>
              <w:pStyle w:val="Smalltext10pt"/>
              <w:cnfStyle w:val="000000000000" w:firstRow="0" w:lastRow="0" w:firstColumn="0" w:lastColumn="0" w:oddVBand="0" w:evenVBand="0" w:oddHBand="0" w:evenHBand="0" w:firstRowFirstColumn="0" w:firstRowLastColumn="0" w:lastRowFirstColumn="0" w:lastRowLastColumn="0"/>
              <w:rPr>
                <w:sz w:val="28"/>
                <w:szCs w:val="28"/>
              </w:rPr>
            </w:pPr>
          </w:p>
        </w:tc>
      </w:tr>
      <w:tr w:rsidR="00CC3037" w:rsidRPr="00CC3037" w14:paraId="5054A4B0" w14:textId="77777777" w:rsidTr="00CC3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tcPr>
          <w:p w14:paraId="26E4F5FA" w14:textId="77777777" w:rsidR="00BD08C3" w:rsidRPr="00CC3037" w:rsidRDefault="00BD08C3" w:rsidP="00474B91">
            <w:pPr>
              <w:pStyle w:val="Smalltext10pt"/>
              <w:spacing w:line="240" w:lineRule="auto"/>
              <w:rPr>
                <w:color w:val="auto"/>
                <w:sz w:val="28"/>
                <w:szCs w:val="28"/>
              </w:rPr>
            </w:pPr>
            <w:r w:rsidRPr="00CC3037">
              <w:rPr>
                <w:color w:val="auto"/>
                <w:sz w:val="28"/>
                <w:szCs w:val="28"/>
              </w:rPr>
              <w:t>Subtitle</w:t>
            </w:r>
          </w:p>
        </w:tc>
        <w:sdt>
          <w:sdtPr>
            <w:rPr>
              <w:sz w:val="28"/>
              <w:szCs w:val="28"/>
            </w:rPr>
            <w:alias w:val="Subject"/>
            <w:id w:val="4115215"/>
            <w:placeholder>
              <w:docPart w:val="F62F0DAD8107474F9DFCC9D94FE779D4"/>
            </w:placeholder>
            <w:dataBinding w:prefixMappings="xmlns:ns0='http://purl.org/dc/elements/1.1/' xmlns:ns1='http://schemas.openxmlformats.org/package/2006/metadata/core-properties' " w:xpath="/ns1:coreProperties[1]/ns0:subject[1]" w:storeItemID="{6C3C8BC8-F283-45AE-878A-BAB7291924A1}"/>
            <w:text/>
          </w:sdtPr>
          <w:sdtEndPr/>
          <w:sdtContent>
            <w:tc>
              <w:tcPr>
                <w:tcW w:w="3686" w:type="dxa"/>
                <w:shd w:val="clear" w:color="auto" w:fill="auto"/>
              </w:tcPr>
              <w:p w14:paraId="38BD46DF" w14:textId="41FB8AC3" w:rsidR="00BD08C3" w:rsidRPr="00CC3037" w:rsidRDefault="007A22C9" w:rsidP="00474B91">
                <w:pPr>
                  <w:pStyle w:val="Smalltext10pt"/>
                  <w:spacing w:line="240" w:lineRule="auto"/>
                  <w:cnfStyle w:val="000000100000" w:firstRow="0" w:lastRow="0" w:firstColumn="0" w:lastColumn="0" w:oddVBand="0" w:evenVBand="0" w:oddHBand="1" w:evenHBand="0" w:firstRowFirstColumn="0" w:firstRowLastColumn="0" w:lastRowFirstColumn="0" w:lastRowLastColumn="0"/>
                  <w:rPr>
                    <w:color w:val="auto"/>
                    <w:sz w:val="28"/>
                    <w:szCs w:val="28"/>
                  </w:rPr>
                </w:pPr>
                <w:r w:rsidRPr="00CC3037">
                  <w:rPr>
                    <w:color w:val="auto"/>
                    <w:sz w:val="28"/>
                    <w:szCs w:val="28"/>
                  </w:rPr>
                  <w:t>A report to RNIB</w:t>
                </w:r>
              </w:p>
            </w:tc>
          </w:sdtContent>
        </w:sdt>
      </w:tr>
      <w:tr w:rsidR="00CC3037" w:rsidRPr="00CC3037" w14:paraId="45E5D389" w14:textId="77777777" w:rsidTr="00CC3037">
        <w:tc>
          <w:tcPr>
            <w:cnfStyle w:val="001000000000" w:firstRow="0" w:lastRow="0" w:firstColumn="1" w:lastColumn="0" w:oddVBand="0" w:evenVBand="0" w:oddHBand="0" w:evenHBand="0" w:firstRowFirstColumn="0" w:firstRowLastColumn="0" w:lastRowFirstColumn="0" w:lastRowLastColumn="0"/>
            <w:tcW w:w="2551" w:type="dxa"/>
            <w:shd w:val="clear" w:color="auto" w:fill="auto"/>
          </w:tcPr>
          <w:p w14:paraId="5A3EDF4F" w14:textId="77777777" w:rsidR="00310FEA" w:rsidRPr="00CC3037" w:rsidRDefault="00373B43" w:rsidP="00474B91">
            <w:pPr>
              <w:pStyle w:val="Smalltext10pt"/>
              <w:spacing w:line="240" w:lineRule="auto"/>
              <w:rPr>
                <w:color w:val="auto"/>
                <w:sz w:val="28"/>
                <w:szCs w:val="28"/>
              </w:rPr>
            </w:pPr>
            <w:r w:rsidRPr="00CC3037">
              <w:rPr>
                <w:color w:val="auto"/>
                <w:sz w:val="28"/>
                <w:szCs w:val="28"/>
              </w:rPr>
              <w:t>Dates</w:t>
            </w:r>
          </w:p>
        </w:tc>
        <w:tc>
          <w:tcPr>
            <w:tcW w:w="3686" w:type="dxa"/>
            <w:shd w:val="clear" w:color="auto" w:fill="auto"/>
          </w:tcPr>
          <w:p w14:paraId="3909BEB4" w14:textId="75C067B0" w:rsidR="00310FEA" w:rsidRPr="00CC3037" w:rsidRDefault="00545D28" w:rsidP="00474B91">
            <w:pPr>
              <w:pStyle w:val="Smalltext10pt"/>
              <w:spacing w:line="240" w:lineRule="auto"/>
              <w:cnfStyle w:val="000000000000" w:firstRow="0" w:lastRow="0" w:firstColumn="0" w:lastColumn="0" w:oddVBand="0" w:evenVBand="0" w:oddHBand="0" w:evenHBand="0" w:firstRowFirstColumn="0" w:firstRowLastColumn="0" w:lastRowFirstColumn="0" w:lastRowLastColumn="0"/>
              <w:rPr>
                <w:color w:val="auto"/>
                <w:sz w:val="28"/>
                <w:szCs w:val="28"/>
              </w:rPr>
            </w:pPr>
            <w:r w:rsidRPr="00CC3037">
              <w:rPr>
                <w:color w:val="auto"/>
                <w:sz w:val="28"/>
                <w:szCs w:val="28"/>
              </w:rPr>
              <w:t>L</w:t>
            </w:r>
            <w:r w:rsidR="00373B43" w:rsidRPr="00CC3037">
              <w:rPr>
                <w:color w:val="auto"/>
                <w:sz w:val="28"/>
                <w:szCs w:val="28"/>
              </w:rPr>
              <w:t>ast published</w:t>
            </w:r>
            <w:r w:rsidR="00CD0803" w:rsidRPr="00CC3037">
              <w:rPr>
                <w:color w:val="auto"/>
                <w:sz w:val="28"/>
                <w:szCs w:val="28"/>
              </w:rPr>
              <w:t>: June 2017</w:t>
            </w:r>
            <w:r w:rsidR="00C40723" w:rsidRPr="00CC3037">
              <w:rPr>
                <w:color w:val="auto"/>
                <w:sz w:val="28"/>
                <w:szCs w:val="28"/>
              </w:rPr>
              <w:t xml:space="preserve"> </w:t>
            </w:r>
            <w:r>
              <w:br/>
            </w:r>
            <w:r w:rsidRPr="00CC3037">
              <w:rPr>
                <w:color w:val="auto"/>
                <w:sz w:val="28"/>
                <w:szCs w:val="28"/>
              </w:rPr>
              <w:t>L</w:t>
            </w:r>
            <w:r w:rsidR="00310FEA" w:rsidRPr="00CC3037">
              <w:rPr>
                <w:color w:val="auto"/>
                <w:sz w:val="28"/>
                <w:szCs w:val="28"/>
              </w:rPr>
              <w:t>ast revised</w:t>
            </w:r>
            <w:r w:rsidR="00CD0803" w:rsidRPr="00CC3037">
              <w:rPr>
                <w:color w:val="auto"/>
                <w:sz w:val="28"/>
                <w:szCs w:val="28"/>
              </w:rPr>
              <w:t>: June 2017</w:t>
            </w:r>
          </w:p>
        </w:tc>
      </w:tr>
      <w:tr w:rsidR="00CC3037" w:rsidRPr="00CC3037" w14:paraId="1A59C258" w14:textId="77777777" w:rsidTr="00CC3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tcPr>
          <w:p w14:paraId="1CF107F0" w14:textId="77777777" w:rsidR="00310FEA" w:rsidRPr="00CC3037" w:rsidRDefault="00310FEA" w:rsidP="00474B91">
            <w:pPr>
              <w:pStyle w:val="Smalltext10pt"/>
              <w:spacing w:line="240" w:lineRule="auto"/>
              <w:rPr>
                <w:color w:val="auto"/>
                <w:sz w:val="28"/>
                <w:szCs w:val="28"/>
              </w:rPr>
            </w:pPr>
            <w:r w:rsidRPr="00CC3037">
              <w:rPr>
                <w:color w:val="auto"/>
                <w:sz w:val="28"/>
                <w:szCs w:val="28"/>
              </w:rPr>
              <w:t>Status</w:t>
            </w:r>
          </w:p>
        </w:tc>
        <w:tc>
          <w:tcPr>
            <w:tcW w:w="3686" w:type="dxa"/>
            <w:shd w:val="clear" w:color="auto" w:fill="auto"/>
          </w:tcPr>
          <w:p w14:paraId="65CA3B81" w14:textId="5132B45A" w:rsidR="00310FEA" w:rsidRPr="00CC3037" w:rsidRDefault="00D32912" w:rsidP="00474B91">
            <w:pPr>
              <w:pStyle w:val="Smalltext10pt"/>
              <w:spacing w:line="240" w:lineRule="auto"/>
              <w:cnfStyle w:val="000000100000" w:firstRow="0" w:lastRow="0" w:firstColumn="0" w:lastColumn="0" w:oddVBand="0" w:evenVBand="0" w:oddHBand="1" w:evenHBand="0" w:firstRowFirstColumn="0" w:firstRowLastColumn="0" w:lastRowFirstColumn="0" w:lastRowLastColumn="0"/>
              <w:rPr>
                <w:color w:val="auto"/>
                <w:sz w:val="28"/>
                <w:szCs w:val="28"/>
              </w:rPr>
            </w:pPr>
            <w:sdt>
              <w:sdtPr>
                <w:rPr>
                  <w:sz w:val="28"/>
                  <w:szCs w:val="28"/>
                </w:rPr>
                <w:alias w:val="Status"/>
                <w:id w:val="3305169"/>
                <w:dataBinding w:prefixMappings="xmlns:ns0='http://purl.org/dc/elements/1.1/' xmlns:ns1='http://schemas.openxmlformats.org/package/2006/metadata/core-properties' " w:xpath="/ns1:coreProperties[1]/ns1:contentStatus[1]" w:storeItemID="{6C3C8BC8-F283-45AE-878A-BAB7291924A1}"/>
                <w:text/>
              </w:sdtPr>
              <w:sdtEndPr/>
              <w:sdtContent>
                <w:r w:rsidR="00474B91" w:rsidRPr="00CC3037">
                  <w:rPr>
                    <w:color w:val="auto"/>
                    <w:sz w:val="28"/>
                    <w:szCs w:val="28"/>
                  </w:rPr>
                  <w:t>Final</w:t>
                </w:r>
              </w:sdtContent>
            </w:sdt>
          </w:p>
        </w:tc>
      </w:tr>
      <w:tr w:rsidR="00CC3037" w:rsidRPr="00CC3037" w14:paraId="15432346" w14:textId="77777777" w:rsidTr="00CC3037">
        <w:tc>
          <w:tcPr>
            <w:cnfStyle w:val="001000000000" w:firstRow="0" w:lastRow="0" w:firstColumn="1" w:lastColumn="0" w:oddVBand="0" w:evenVBand="0" w:oddHBand="0" w:evenHBand="0" w:firstRowFirstColumn="0" w:firstRowLastColumn="0" w:lastRowFirstColumn="0" w:lastRowLastColumn="0"/>
            <w:tcW w:w="2551" w:type="dxa"/>
            <w:shd w:val="clear" w:color="auto" w:fill="auto"/>
          </w:tcPr>
          <w:p w14:paraId="008174D4" w14:textId="77777777" w:rsidR="009E30C8" w:rsidRPr="00CC3037" w:rsidRDefault="009E30C8" w:rsidP="00474B91">
            <w:pPr>
              <w:pStyle w:val="Smalltext10pt"/>
              <w:spacing w:line="240" w:lineRule="auto"/>
              <w:rPr>
                <w:color w:val="auto"/>
                <w:sz w:val="28"/>
                <w:szCs w:val="28"/>
              </w:rPr>
            </w:pPr>
            <w:r w:rsidRPr="00CC3037">
              <w:rPr>
                <w:color w:val="auto"/>
                <w:sz w:val="28"/>
                <w:szCs w:val="28"/>
              </w:rPr>
              <w:t>Classification</w:t>
            </w:r>
          </w:p>
        </w:tc>
        <w:sdt>
          <w:sdtPr>
            <w:rPr>
              <w:sz w:val="28"/>
              <w:szCs w:val="28"/>
            </w:rPr>
            <w:alias w:val="Category"/>
            <w:tag w:val=""/>
            <w:id w:val="-1860037054"/>
            <w:dataBinding w:prefixMappings="xmlns:ns0='http://purl.org/dc/elements/1.1/' xmlns:ns1='http://schemas.openxmlformats.org/package/2006/metadata/core-properties' " w:xpath="/ns1:coreProperties[1]/ns1:category[1]" w:storeItemID="{6C3C8BC8-F283-45AE-878A-BAB7291924A1}"/>
            <w:text w:multiLine="1"/>
          </w:sdtPr>
          <w:sdtEndPr/>
          <w:sdtContent>
            <w:tc>
              <w:tcPr>
                <w:tcW w:w="3686" w:type="dxa"/>
                <w:shd w:val="clear" w:color="auto" w:fill="auto"/>
              </w:tcPr>
              <w:p w14:paraId="016B87BE" w14:textId="12947F22" w:rsidR="009E30C8" w:rsidRPr="00CC3037" w:rsidRDefault="00474B91" w:rsidP="00474B91">
                <w:pPr>
                  <w:pStyle w:val="Smalltext10pt"/>
                  <w:spacing w:line="240" w:lineRule="auto"/>
                  <w:cnfStyle w:val="000000000000" w:firstRow="0" w:lastRow="0" w:firstColumn="0" w:lastColumn="0" w:oddVBand="0" w:evenVBand="0" w:oddHBand="0" w:evenHBand="0" w:firstRowFirstColumn="0" w:firstRowLastColumn="0" w:lastRowFirstColumn="0" w:lastRowLastColumn="0"/>
                  <w:rPr>
                    <w:color w:val="auto"/>
                    <w:sz w:val="28"/>
                    <w:szCs w:val="28"/>
                  </w:rPr>
                </w:pPr>
                <w:r w:rsidRPr="00CC3037">
                  <w:rPr>
                    <w:color w:val="auto"/>
                    <w:sz w:val="28"/>
                    <w:szCs w:val="28"/>
                  </w:rPr>
                  <w:t>Released</w:t>
                </w:r>
              </w:p>
            </w:tc>
          </w:sdtContent>
        </w:sdt>
      </w:tr>
      <w:tr w:rsidR="00CC3037" w:rsidRPr="00CC3037" w14:paraId="23A2C03D" w14:textId="77777777" w:rsidTr="00CC3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tcPr>
          <w:p w14:paraId="4BACE997" w14:textId="77777777" w:rsidR="009E30C8" w:rsidRPr="00CC3037" w:rsidRDefault="009E30C8" w:rsidP="00474B91">
            <w:pPr>
              <w:pStyle w:val="Smalltext10pt"/>
              <w:spacing w:line="240" w:lineRule="auto"/>
              <w:rPr>
                <w:color w:val="auto"/>
                <w:sz w:val="28"/>
                <w:szCs w:val="28"/>
              </w:rPr>
            </w:pPr>
            <w:r w:rsidRPr="00CC3037">
              <w:rPr>
                <w:color w:val="auto"/>
                <w:sz w:val="28"/>
                <w:szCs w:val="28"/>
              </w:rPr>
              <w:t>Project Code</w:t>
            </w:r>
          </w:p>
        </w:tc>
        <w:tc>
          <w:tcPr>
            <w:tcW w:w="3686" w:type="dxa"/>
            <w:shd w:val="clear" w:color="auto" w:fill="auto"/>
          </w:tcPr>
          <w:p w14:paraId="438A170A" w14:textId="06817706" w:rsidR="009E30C8" w:rsidRPr="00CC3037" w:rsidRDefault="007A22C9" w:rsidP="00474B91">
            <w:pPr>
              <w:pStyle w:val="Smalltext10pt"/>
              <w:spacing w:line="240" w:lineRule="auto"/>
              <w:cnfStyle w:val="000000100000" w:firstRow="0" w:lastRow="0" w:firstColumn="0" w:lastColumn="0" w:oddVBand="0" w:evenVBand="0" w:oddHBand="1" w:evenHBand="0" w:firstRowFirstColumn="0" w:firstRowLastColumn="0" w:lastRowFirstColumn="0" w:lastRowLastColumn="0"/>
              <w:rPr>
                <w:color w:val="auto"/>
                <w:sz w:val="28"/>
                <w:szCs w:val="28"/>
              </w:rPr>
            </w:pPr>
            <w:r w:rsidRPr="00CC3037">
              <w:rPr>
                <w:color w:val="auto"/>
                <w:sz w:val="28"/>
                <w:szCs w:val="28"/>
              </w:rPr>
              <w:t>10656</w:t>
            </w:r>
          </w:p>
        </w:tc>
      </w:tr>
      <w:tr w:rsidR="00CC3037" w:rsidRPr="00CC3037" w14:paraId="16E179CD" w14:textId="77777777" w:rsidTr="00CC3037">
        <w:tc>
          <w:tcPr>
            <w:cnfStyle w:val="001000000000" w:firstRow="0" w:lastRow="0" w:firstColumn="1" w:lastColumn="0" w:oddVBand="0" w:evenVBand="0" w:oddHBand="0" w:evenHBand="0" w:firstRowFirstColumn="0" w:firstRowLastColumn="0" w:lastRowFirstColumn="0" w:lastRowLastColumn="0"/>
            <w:tcW w:w="2551" w:type="dxa"/>
            <w:shd w:val="clear" w:color="auto" w:fill="auto"/>
          </w:tcPr>
          <w:p w14:paraId="35B5A353" w14:textId="77777777" w:rsidR="009E30C8" w:rsidRPr="00CC3037" w:rsidRDefault="009E30C8" w:rsidP="00474B91">
            <w:pPr>
              <w:pStyle w:val="Smalltext10pt"/>
              <w:spacing w:line="240" w:lineRule="auto"/>
              <w:rPr>
                <w:color w:val="auto"/>
                <w:sz w:val="28"/>
                <w:szCs w:val="28"/>
              </w:rPr>
            </w:pPr>
            <w:r w:rsidRPr="00CC3037">
              <w:rPr>
                <w:color w:val="auto"/>
                <w:sz w:val="28"/>
                <w:szCs w:val="28"/>
              </w:rPr>
              <w:t>Author</w:t>
            </w:r>
            <w:r w:rsidR="004A4E60" w:rsidRPr="00CC3037">
              <w:rPr>
                <w:color w:val="auto"/>
                <w:sz w:val="28"/>
                <w:szCs w:val="28"/>
              </w:rPr>
              <w:t>(s)</w:t>
            </w:r>
          </w:p>
        </w:tc>
        <w:tc>
          <w:tcPr>
            <w:tcW w:w="3686" w:type="dxa"/>
            <w:shd w:val="clear" w:color="auto" w:fill="auto"/>
          </w:tcPr>
          <w:p w14:paraId="6395061C" w14:textId="18634421" w:rsidR="007A22C9" w:rsidRPr="00CC3037" w:rsidRDefault="007A22C9" w:rsidP="00474B91">
            <w:pPr>
              <w:pStyle w:val="Smalltext10pt"/>
              <w:spacing w:line="240" w:lineRule="auto"/>
              <w:cnfStyle w:val="000000000000" w:firstRow="0" w:lastRow="0" w:firstColumn="0" w:lastColumn="0" w:oddVBand="0" w:evenVBand="0" w:oddHBand="0" w:evenHBand="0" w:firstRowFirstColumn="0" w:firstRowLastColumn="0" w:lastRowFirstColumn="0" w:lastRowLastColumn="0"/>
              <w:rPr>
                <w:color w:val="auto"/>
                <w:sz w:val="28"/>
                <w:szCs w:val="28"/>
              </w:rPr>
            </w:pPr>
            <w:r w:rsidRPr="00CC3037">
              <w:rPr>
                <w:color w:val="auto"/>
                <w:sz w:val="28"/>
                <w:szCs w:val="28"/>
              </w:rPr>
              <w:t>Melissa Ronca</w:t>
            </w:r>
          </w:p>
          <w:p w14:paraId="2813AE44" w14:textId="77777777" w:rsidR="00380E45" w:rsidRPr="00CC3037" w:rsidRDefault="00380E45" w:rsidP="00474B91">
            <w:pPr>
              <w:pStyle w:val="Smalltext10pt"/>
              <w:spacing w:line="240" w:lineRule="auto"/>
              <w:cnfStyle w:val="000000000000" w:firstRow="0" w:lastRow="0" w:firstColumn="0" w:lastColumn="0" w:oddVBand="0" w:evenVBand="0" w:oddHBand="0" w:evenHBand="0" w:firstRowFirstColumn="0" w:firstRowLastColumn="0" w:lastRowFirstColumn="0" w:lastRowLastColumn="0"/>
              <w:rPr>
                <w:color w:val="auto"/>
                <w:sz w:val="28"/>
                <w:szCs w:val="28"/>
              </w:rPr>
            </w:pPr>
            <w:r w:rsidRPr="00CC3037">
              <w:rPr>
                <w:color w:val="auto"/>
                <w:sz w:val="28"/>
                <w:szCs w:val="28"/>
              </w:rPr>
              <w:t>Bethan Peach</w:t>
            </w:r>
          </w:p>
          <w:p w14:paraId="1AF14311" w14:textId="77777777" w:rsidR="007A22C9" w:rsidRPr="00CC3037" w:rsidRDefault="007A22C9" w:rsidP="00474B91">
            <w:pPr>
              <w:pStyle w:val="Smalltext10pt"/>
              <w:spacing w:line="240" w:lineRule="auto"/>
              <w:cnfStyle w:val="000000000000" w:firstRow="0" w:lastRow="0" w:firstColumn="0" w:lastColumn="0" w:oddVBand="0" w:evenVBand="0" w:oddHBand="0" w:evenHBand="0" w:firstRowFirstColumn="0" w:firstRowLastColumn="0" w:lastRowFirstColumn="0" w:lastRowLastColumn="0"/>
              <w:rPr>
                <w:color w:val="auto"/>
                <w:sz w:val="28"/>
                <w:szCs w:val="28"/>
              </w:rPr>
            </w:pPr>
            <w:r w:rsidRPr="00CC3037">
              <w:rPr>
                <w:color w:val="auto"/>
                <w:sz w:val="28"/>
                <w:szCs w:val="28"/>
              </w:rPr>
              <w:t>Ian Thompson</w:t>
            </w:r>
          </w:p>
          <w:p w14:paraId="144785B7" w14:textId="01C1CEF9" w:rsidR="00833ECC" w:rsidRPr="00CC3037" w:rsidRDefault="00833ECC" w:rsidP="00474B91">
            <w:pPr>
              <w:pStyle w:val="Smalltext10pt"/>
              <w:spacing w:line="240" w:lineRule="auto"/>
              <w:cnfStyle w:val="000000000000" w:firstRow="0" w:lastRow="0" w:firstColumn="0" w:lastColumn="0" w:oddVBand="0" w:evenVBand="0" w:oddHBand="0" w:evenHBand="0" w:firstRowFirstColumn="0" w:firstRowLastColumn="0" w:lastRowFirstColumn="0" w:lastRowLastColumn="0"/>
              <w:rPr>
                <w:color w:val="auto"/>
                <w:sz w:val="28"/>
                <w:szCs w:val="28"/>
              </w:rPr>
            </w:pPr>
            <w:r w:rsidRPr="00CC3037">
              <w:rPr>
                <w:color w:val="auto"/>
                <w:sz w:val="28"/>
                <w:szCs w:val="28"/>
              </w:rPr>
              <w:t>Dr Chih Hoong Sin</w:t>
            </w:r>
          </w:p>
        </w:tc>
      </w:tr>
      <w:tr w:rsidR="00CC3037" w:rsidRPr="00CC3037" w14:paraId="03EFD051" w14:textId="77777777" w:rsidTr="00CC3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tcPr>
          <w:p w14:paraId="630A696A" w14:textId="77777777" w:rsidR="009E30C8" w:rsidRPr="00CC3037" w:rsidRDefault="009E30C8" w:rsidP="00474B91">
            <w:pPr>
              <w:pStyle w:val="Smalltext10pt"/>
              <w:spacing w:line="240" w:lineRule="auto"/>
              <w:rPr>
                <w:color w:val="auto"/>
                <w:sz w:val="28"/>
                <w:szCs w:val="28"/>
              </w:rPr>
            </w:pPr>
            <w:r w:rsidRPr="00CC3037">
              <w:rPr>
                <w:color w:val="auto"/>
                <w:sz w:val="28"/>
                <w:szCs w:val="28"/>
              </w:rPr>
              <w:t>Quality Assurance by</w:t>
            </w:r>
          </w:p>
        </w:tc>
        <w:tc>
          <w:tcPr>
            <w:tcW w:w="3686" w:type="dxa"/>
            <w:shd w:val="clear" w:color="auto" w:fill="auto"/>
          </w:tcPr>
          <w:p w14:paraId="217AED56" w14:textId="70DA369D" w:rsidR="009E30C8" w:rsidRPr="00CC3037" w:rsidRDefault="00891883" w:rsidP="00474B91">
            <w:pPr>
              <w:pStyle w:val="Smalltext10pt"/>
              <w:spacing w:line="240" w:lineRule="auto"/>
              <w:cnfStyle w:val="000000100000" w:firstRow="0" w:lastRow="0" w:firstColumn="0" w:lastColumn="0" w:oddVBand="0" w:evenVBand="0" w:oddHBand="1" w:evenHBand="0" w:firstRowFirstColumn="0" w:firstRowLastColumn="0" w:lastRowFirstColumn="0" w:lastRowLastColumn="0"/>
              <w:rPr>
                <w:color w:val="auto"/>
                <w:sz w:val="28"/>
                <w:szCs w:val="28"/>
              </w:rPr>
            </w:pPr>
            <w:r w:rsidRPr="00CC3037">
              <w:rPr>
                <w:color w:val="auto"/>
                <w:sz w:val="28"/>
                <w:szCs w:val="28"/>
              </w:rPr>
              <w:t xml:space="preserve">Dr </w:t>
            </w:r>
            <w:r w:rsidR="007A22C9" w:rsidRPr="00CC3037">
              <w:rPr>
                <w:color w:val="auto"/>
                <w:sz w:val="28"/>
                <w:szCs w:val="28"/>
              </w:rPr>
              <w:t>Chih Hoong Sin</w:t>
            </w:r>
          </w:p>
        </w:tc>
      </w:tr>
      <w:tr w:rsidR="00CC3037" w:rsidRPr="00CC3037" w14:paraId="3A77B266" w14:textId="77777777" w:rsidTr="00CC3037">
        <w:tc>
          <w:tcPr>
            <w:cnfStyle w:val="001000000000" w:firstRow="0" w:lastRow="0" w:firstColumn="1" w:lastColumn="0" w:oddVBand="0" w:evenVBand="0" w:oddHBand="0" w:evenHBand="0" w:firstRowFirstColumn="0" w:firstRowLastColumn="0" w:lastRowFirstColumn="0" w:lastRowLastColumn="0"/>
            <w:tcW w:w="2551" w:type="dxa"/>
            <w:shd w:val="clear" w:color="auto" w:fill="auto"/>
          </w:tcPr>
          <w:p w14:paraId="22175F43" w14:textId="77777777" w:rsidR="009E30C8" w:rsidRPr="00CC3037" w:rsidRDefault="009E30C8" w:rsidP="00474B91">
            <w:pPr>
              <w:pStyle w:val="Smalltext10pt"/>
              <w:spacing w:line="240" w:lineRule="auto"/>
              <w:rPr>
                <w:color w:val="auto"/>
                <w:sz w:val="28"/>
                <w:szCs w:val="28"/>
              </w:rPr>
            </w:pPr>
            <w:r w:rsidRPr="00CC3037">
              <w:rPr>
                <w:color w:val="auto"/>
                <w:sz w:val="28"/>
                <w:szCs w:val="28"/>
              </w:rPr>
              <w:t>Main point of contact</w:t>
            </w:r>
          </w:p>
        </w:tc>
        <w:tc>
          <w:tcPr>
            <w:tcW w:w="3686" w:type="dxa"/>
            <w:shd w:val="clear" w:color="auto" w:fill="auto"/>
          </w:tcPr>
          <w:p w14:paraId="75AE4AC7" w14:textId="5564F6B6" w:rsidR="009E30C8" w:rsidRPr="00CC3037" w:rsidRDefault="007A22C9" w:rsidP="00474B91">
            <w:pPr>
              <w:pStyle w:val="Smalltext10pt"/>
              <w:spacing w:line="240" w:lineRule="auto"/>
              <w:cnfStyle w:val="000000000000" w:firstRow="0" w:lastRow="0" w:firstColumn="0" w:lastColumn="0" w:oddVBand="0" w:evenVBand="0" w:oddHBand="0" w:evenHBand="0" w:firstRowFirstColumn="0" w:firstRowLastColumn="0" w:lastRowFirstColumn="0" w:lastRowLastColumn="0"/>
              <w:rPr>
                <w:color w:val="auto"/>
                <w:sz w:val="28"/>
                <w:szCs w:val="28"/>
              </w:rPr>
            </w:pPr>
            <w:r w:rsidRPr="00CC3037">
              <w:rPr>
                <w:color w:val="auto"/>
                <w:sz w:val="28"/>
                <w:szCs w:val="28"/>
              </w:rPr>
              <w:t>Bethan Peach</w:t>
            </w:r>
          </w:p>
        </w:tc>
      </w:tr>
      <w:tr w:rsidR="00CC3037" w:rsidRPr="00CC3037" w14:paraId="4A219E4B" w14:textId="77777777" w:rsidTr="00CC3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shd w:val="clear" w:color="auto" w:fill="auto"/>
          </w:tcPr>
          <w:p w14:paraId="1D03C182" w14:textId="77777777" w:rsidR="009E30C8" w:rsidRPr="00CC3037" w:rsidRDefault="009E30C8" w:rsidP="00474B91">
            <w:pPr>
              <w:pStyle w:val="Smalltext10pt"/>
              <w:spacing w:line="240" w:lineRule="auto"/>
              <w:rPr>
                <w:color w:val="auto"/>
                <w:sz w:val="28"/>
                <w:szCs w:val="28"/>
              </w:rPr>
            </w:pPr>
            <w:r w:rsidRPr="00CC3037">
              <w:rPr>
                <w:color w:val="auto"/>
                <w:sz w:val="28"/>
                <w:szCs w:val="28"/>
              </w:rPr>
              <w:t>Telephone</w:t>
            </w:r>
          </w:p>
        </w:tc>
        <w:tc>
          <w:tcPr>
            <w:tcW w:w="3686" w:type="dxa"/>
            <w:shd w:val="clear" w:color="auto" w:fill="auto"/>
          </w:tcPr>
          <w:p w14:paraId="34235286" w14:textId="4A3FA582" w:rsidR="009E30C8" w:rsidRPr="00CC3037" w:rsidRDefault="007A22C9" w:rsidP="00474B91">
            <w:pPr>
              <w:pStyle w:val="Smalltext10pt"/>
              <w:spacing w:line="240" w:lineRule="auto"/>
              <w:cnfStyle w:val="000000100000" w:firstRow="0" w:lastRow="0" w:firstColumn="0" w:lastColumn="0" w:oddVBand="0" w:evenVBand="0" w:oddHBand="1" w:evenHBand="0" w:firstRowFirstColumn="0" w:firstRowLastColumn="0" w:lastRowFirstColumn="0" w:lastRowLastColumn="0"/>
              <w:rPr>
                <w:color w:val="auto"/>
                <w:sz w:val="28"/>
                <w:szCs w:val="28"/>
              </w:rPr>
            </w:pPr>
            <w:r w:rsidRPr="00CC3037">
              <w:rPr>
                <w:color w:val="auto"/>
                <w:sz w:val="28"/>
                <w:szCs w:val="28"/>
              </w:rPr>
              <w:t>0207 239 7800</w:t>
            </w:r>
          </w:p>
        </w:tc>
      </w:tr>
      <w:tr w:rsidR="00CC3037" w:rsidRPr="00CC3037" w14:paraId="7047173A" w14:textId="77777777" w:rsidTr="00CC3037">
        <w:tc>
          <w:tcPr>
            <w:cnfStyle w:val="001000000000" w:firstRow="0" w:lastRow="0" w:firstColumn="1" w:lastColumn="0" w:oddVBand="0" w:evenVBand="0" w:oddHBand="0" w:evenHBand="0" w:firstRowFirstColumn="0" w:firstRowLastColumn="0" w:lastRowFirstColumn="0" w:lastRowLastColumn="0"/>
            <w:tcW w:w="2551" w:type="dxa"/>
            <w:shd w:val="clear" w:color="auto" w:fill="auto"/>
          </w:tcPr>
          <w:p w14:paraId="06C28542" w14:textId="77777777" w:rsidR="009E30C8" w:rsidRPr="00CC3037" w:rsidRDefault="009E30C8" w:rsidP="00474B91">
            <w:pPr>
              <w:pStyle w:val="Smalltext10pt"/>
              <w:spacing w:line="240" w:lineRule="auto"/>
              <w:rPr>
                <w:color w:val="auto"/>
                <w:sz w:val="28"/>
                <w:szCs w:val="28"/>
              </w:rPr>
            </w:pPr>
            <w:r w:rsidRPr="00CC3037">
              <w:rPr>
                <w:color w:val="auto"/>
                <w:sz w:val="28"/>
                <w:szCs w:val="28"/>
              </w:rPr>
              <w:t>Email</w:t>
            </w:r>
          </w:p>
        </w:tc>
        <w:tc>
          <w:tcPr>
            <w:tcW w:w="3686" w:type="dxa"/>
            <w:shd w:val="clear" w:color="auto" w:fill="auto"/>
          </w:tcPr>
          <w:p w14:paraId="6F7ED891" w14:textId="4E249723" w:rsidR="009E30C8" w:rsidRPr="00CC3037" w:rsidRDefault="007A22C9" w:rsidP="00474B91">
            <w:pPr>
              <w:pStyle w:val="Smalltext10pt"/>
              <w:spacing w:line="240" w:lineRule="auto"/>
              <w:cnfStyle w:val="000000000000" w:firstRow="0" w:lastRow="0" w:firstColumn="0" w:lastColumn="0" w:oddVBand="0" w:evenVBand="0" w:oddHBand="0" w:evenHBand="0" w:firstRowFirstColumn="0" w:firstRowLastColumn="0" w:lastRowFirstColumn="0" w:lastRowLastColumn="0"/>
              <w:rPr>
                <w:color w:val="auto"/>
                <w:sz w:val="28"/>
                <w:szCs w:val="28"/>
              </w:rPr>
            </w:pPr>
            <w:r w:rsidRPr="00CC3037">
              <w:rPr>
                <w:color w:val="auto"/>
                <w:sz w:val="28"/>
                <w:szCs w:val="28"/>
              </w:rPr>
              <w:t>info@opm.co.uk</w:t>
            </w:r>
          </w:p>
        </w:tc>
      </w:tr>
    </w:tbl>
    <w:p w14:paraId="72530347" w14:textId="43A14E99" w:rsidR="00474B91" w:rsidRDefault="00474B91" w:rsidP="002E5F04"/>
    <w:p w14:paraId="6821137D" w14:textId="77777777" w:rsidR="00474B91" w:rsidRPr="00474B91" w:rsidRDefault="00474B91" w:rsidP="00474B91"/>
    <w:p w14:paraId="0416221A" w14:textId="77777777" w:rsidR="00474B91" w:rsidRPr="00474B91" w:rsidRDefault="00474B91" w:rsidP="00474B91"/>
    <w:p w14:paraId="4FF1C889" w14:textId="77777777" w:rsidR="00474B91" w:rsidRPr="00474B91" w:rsidRDefault="00474B91" w:rsidP="00474B91"/>
    <w:p w14:paraId="6B5BB27C" w14:textId="77777777" w:rsidR="00474B91" w:rsidRPr="00474B91" w:rsidRDefault="00474B91" w:rsidP="00474B91"/>
    <w:p w14:paraId="6D7B9595" w14:textId="77777777" w:rsidR="00474B91" w:rsidRPr="00474B91" w:rsidRDefault="00474B91" w:rsidP="00474B91"/>
    <w:p w14:paraId="127BBAB2" w14:textId="77777777" w:rsidR="00474B91" w:rsidRPr="00474B91" w:rsidRDefault="00474B91" w:rsidP="00474B91"/>
    <w:p w14:paraId="74DD20CE" w14:textId="77777777" w:rsidR="00474B91" w:rsidRPr="00474B91" w:rsidRDefault="00474B91" w:rsidP="00474B91"/>
    <w:p w14:paraId="5C347863" w14:textId="77777777" w:rsidR="00474B91" w:rsidRPr="00474B91" w:rsidRDefault="00474B91" w:rsidP="00474B91"/>
    <w:p w14:paraId="1E512D4F" w14:textId="1796D292" w:rsidR="00474B91" w:rsidRDefault="00474B91" w:rsidP="002E5F04"/>
    <w:p w14:paraId="0433E475" w14:textId="77777777" w:rsidR="00690FBA" w:rsidRDefault="00690FBA" w:rsidP="00690FBA">
      <w:pPr>
        <w:jc w:val="right"/>
      </w:pPr>
    </w:p>
    <w:p w14:paraId="1958C093" w14:textId="77777777" w:rsidR="00690FBA" w:rsidRDefault="00690FBA" w:rsidP="00690FBA">
      <w:pPr>
        <w:jc w:val="right"/>
      </w:pPr>
    </w:p>
    <w:p w14:paraId="56E6351F" w14:textId="77777777" w:rsidR="00690FBA" w:rsidRDefault="00690FBA" w:rsidP="00690FBA">
      <w:pPr>
        <w:jc w:val="right"/>
      </w:pPr>
    </w:p>
    <w:p w14:paraId="1CA11A03" w14:textId="77777777" w:rsidR="00690FBA" w:rsidRDefault="00690FBA" w:rsidP="00690FBA">
      <w:pPr>
        <w:jc w:val="right"/>
      </w:pPr>
    </w:p>
    <w:p w14:paraId="464BC43A" w14:textId="77777777" w:rsidR="00690FBA" w:rsidRDefault="00690FBA" w:rsidP="00690FBA">
      <w:pPr>
        <w:jc w:val="right"/>
      </w:pPr>
    </w:p>
    <w:p w14:paraId="52DC23D4" w14:textId="77777777" w:rsidR="00690FBA" w:rsidRDefault="00690FBA" w:rsidP="00690FBA">
      <w:pPr>
        <w:jc w:val="right"/>
      </w:pPr>
    </w:p>
    <w:p w14:paraId="644AE73B" w14:textId="77777777" w:rsidR="00690FBA" w:rsidRDefault="00690FBA" w:rsidP="00690FBA">
      <w:pPr>
        <w:jc w:val="right"/>
      </w:pPr>
    </w:p>
    <w:p w14:paraId="0BB05C03" w14:textId="77777777" w:rsidR="00690FBA" w:rsidRDefault="00690FBA" w:rsidP="00690FBA">
      <w:pPr>
        <w:jc w:val="right"/>
      </w:pPr>
    </w:p>
    <w:p w14:paraId="363DA6AB" w14:textId="77777777" w:rsidR="00690FBA" w:rsidRDefault="00690FBA" w:rsidP="00690FBA">
      <w:pPr>
        <w:jc w:val="right"/>
      </w:pPr>
    </w:p>
    <w:p w14:paraId="494871A2" w14:textId="77777777" w:rsidR="00690FBA" w:rsidRDefault="00690FBA" w:rsidP="00690FBA">
      <w:pPr>
        <w:jc w:val="right"/>
      </w:pPr>
    </w:p>
    <w:p w14:paraId="6F2966A3" w14:textId="77777777" w:rsidR="00690FBA" w:rsidRDefault="00690FBA" w:rsidP="00690FBA">
      <w:pPr>
        <w:jc w:val="right"/>
      </w:pPr>
    </w:p>
    <w:p w14:paraId="3B6FC55F" w14:textId="5A83D30F" w:rsidR="00690FBA" w:rsidRDefault="00690FBA" w:rsidP="00690FBA"/>
    <w:p w14:paraId="3B98DA79" w14:textId="7FE2D0C3" w:rsidR="001D2B31" w:rsidRPr="008824D4" w:rsidRDefault="00AE357C" w:rsidP="00690FBA">
      <w:r w:rsidRPr="008824D4">
        <w:rPr>
          <w:noProof/>
          <w:lang w:eastAsia="en-GB"/>
        </w:rPr>
        <w:drawing>
          <wp:anchor distT="0" distB="0" distL="114300" distR="114300" simplePos="0" relativeHeight="251658240" behindDoc="0" locked="1" layoutInCell="1" allowOverlap="1" wp14:anchorId="4D358905" wp14:editId="41A61E9D">
            <wp:simplePos x="0" y="0"/>
            <wp:positionH relativeFrom="margin">
              <wp:align>right</wp:align>
            </wp:positionH>
            <wp:positionV relativeFrom="margin">
              <wp:align>bottom</wp:align>
            </wp:positionV>
            <wp:extent cx="3290570" cy="619760"/>
            <wp:effectExtent l="0" t="0" r="5080" b="8890"/>
            <wp:wrapNone/>
            <wp:docPr id="314" name="Picture 314" descr="ISO 9001 Registered&#10;ISO 27001 Registered&#10;ILM Approved Centre" title="Accred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reditation banner.jpg"/>
                    <pic:cNvPicPr/>
                  </pic:nvPicPr>
                  <pic:blipFill rotWithShape="1">
                    <a:blip r:embed="rId13">
                      <a:extLst>
                        <a:ext uri="{28A0092B-C50C-407E-A947-70E740481C1C}">
                          <a14:useLocalDpi xmlns:a14="http://schemas.microsoft.com/office/drawing/2010/main" val="0"/>
                        </a:ext>
                      </a:extLst>
                    </a:blip>
                    <a:srcRect l="858" r="858"/>
                    <a:stretch/>
                  </pic:blipFill>
                  <pic:spPr>
                    <a:xfrm>
                      <a:off x="0" y="0"/>
                      <a:ext cx="3290570" cy="619760"/>
                    </a:xfrm>
                    <a:prstGeom prst="rect">
                      <a:avLst/>
                    </a:prstGeom>
                  </pic:spPr>
                </pic:pic>
              </a:graphicData>
            </a:graphic>
            <wp14:sizeRelH relativeFrom="margin">
              <wp14:pctWidth>0</wp14:pctWidth>
            </wp14:sizeRelH>
            <wp14:sizeRelV relativeFrom="margin">
              <wp14:pctHeight>0</wp14:pctHeight>
            </wp14:sizeRelV>
          </wp:anchor>
        </w:drawing>
      </w:r>
      <w:r w:rsidR="008F7BAD" w:rsidRPr="008824D4">
        <w:t xml:space="preserve">If you would like a large text </w:t>
      </w:r>
      <w:r w:rsidR="001D2B31" w:rsidRPr="008824D4">
        <w:t xml:space="preserve">version of this </w:t>
      </w:r>
      <w:r w:rsidR="008F7BAD" w:rsidRPr="008824D4">
        <w:t>document, please contact us</w:t>
      </w:r>
      <w:r w:rsidRPr="008824D4">
        <w:t>.</w:t>
      </w:r>
    </w:p>
    <w:p w14:paraId="72022387" w14:textId="5D7A68BF" w:rsidR="006A4950" w:rsidRDefault="006A4950" w:rsidP="00C8301F"/>
    <w:p w14:paraId="5719EE7F" w14:textId="77777777" w:rsidR="006A4950" w:rsidRPr="000449B7" w:rsidRDefault="00320338" w:rsidP="00C8301F">
      <w:pPr>
        <w:pBdr>
          <w:top w:val="single" w:sz="4" w:space="1" w:color="62AEB1" w:themeColor="accent1"/>
        </w:pBdr>
        <w:spacing w:line="270" w:lineRule="atLeast"/>
        <w:rPr>
          <w:b/>
          <w:sz w:val="36"/>
          <w:szCs w:val="36"/>
        </w:rPr>
      </w:pPr>
      <w:r w:rsidRPr="022DA057">
        <w:fldChar w:fldCharType="begin"/>
      </w:r>
      <w:r w:rsidRPr="000449B7">
        <w:rPr>
          <w:b/>
          <w:sz w:val="36"/>
          <w:szCs w:val="36"/>
        </w:rPr>
        <w:instrText xml:space="preserve"> DOCPROPERTY  Company  \* MERGEFORMAT </w:instrText>
      </w:r>
      <w:r w:rsidRPr="022DA057">
        <w:rPr>
          <w:b/>
          <w:sz w:val="36"/>
          <w:szCs w:val="36"/>
        </w:rPr>
        <w:fldChar w:fldCharType="separate"/>
      </w:r>
      <w:r w:rsidR="00906842" w:rsidRPr="000449B7">
        <w:rPr>
          <w:b/>
          <w:sz w:val="36"/>
          <w:szCs w:val="36"/>
        </w:rPr>
        <w:t>OPM Group</w:t>
      </w:r>
      <w:r w:rsidRPr="022DA057">
        <w:fldChar w:fldCharType="end"/>
      </w:r>
      <w:r w:rsidR="006A4950" w:rsidRPr="000449B7">
        <w:rPr>
          <w:b/>
          <w:sz w:val="36"/>
          <w:szCs w:val="36"/>
        </w:rPr>
        <w:t xml:space="preserve"> </w:t>
      </w:r>
    </w:p>
    <w:p w14:paraId="18DF731A" w14:textId="77777777" w:rsidR="001D2B31" w:rsidRPr="007A22C9" w:rsidRDefault="001D2B31" w:rsidP="00D414BB">
      <w:pPr>
        <w:tabs>
          <w:tab w:val="left" w:pos="3828"/>
        </w:tabs>
        <w:rPr>
          <w:sz w:val="36"/>
          <w:szCs w:val="36"/>
        </w:rPr>
      </w:pPr>
      <w:r w:rsidRPr="007A22C9">
        <w:rPr>
          <w:sz w:val="36"/>
          <w:szCs w:val="36"/>
        </w:rPr>
        <w:t>252</w:t>
      </w:r>
      <w:r w:rsidRPr="007A22C9">
        <w:rPr>
          <w:smallCaps/>
          <w:sz w:val="36"/>
          <w:szCs w:val="36"/>
        </w:rPr>
        <w:t>b</w:t>
      </w:r>
      <w:r w:rsidRPr="007A22C9">
        <w:rPr>
          <w:sz w:val="36"/>
          <w:szCs w:val="36"/>
        </w:rPr>
        <w:t xml:space="preserve"> Gray’s Inn Road</w:t>
      </w:r>
      <w:r w:rsidR="009E30C8" w:rsidRPr="007A22C9">
        <w:rPr>
          <w:sz w:val="36"/>
          <w:szCs w:val="36"/>
        </w:rPr>
        <w:tab/>
      </w:r>
      <w:r w:rsidRPr="007A22C9">
        <w:rPr>
          <w:sz w:val="36"/>
          <w:szCs w:val="36"/>
        </w:rPr>
        <w:t>0845 055 3900</w:t>
      </w:r>
      <w:r w:rsidRPr="007A22C9">
        <w:rPr>
          <w:sz w:val="36"/>
          <w:szCs w:val="36"/>
        </w:rPr>
        <w:br/>
        <w:t>London</w:t>
      </w:r>
      <w:r w:rsidR="009E30C8" w:rsidRPr="007A22C9">
        <w:rPr>
          <w:sz w:val="36"/>
          <w:szCs w:val="36"/>
        </w:rPr>
        <w:tab/>
      </w:r>
      <w:r w:rsidRPr="007A22C9">
        <w:rPr>
          <w:sz w:val="36"/>
          <w:szCs w:val="36"/>
        </w:rPr>
        <w:t>www.opm.co.uk</w:t>
      </w:r>
      <w:r w:rsidR="00AE357C" w:rsidRPr="007A22C9">
        <w:rPr>
          <w:sz w:val="36"/>
          <w:szCs w:val="36"/>
        </w:rPr>
        <w:t xml:space="preserve"> </w:t>
      </w:r>
      <w:r w:rsidRPr="007A22C9">
        <w:rPr>
          <w:sz w:val="36"/>
          <w:szCs w:val="36"/>
        </w:rPr>
        <w:br/>
        <w:t>WC1X 8XG</w:t>
      </w:r>
      <w:r w:rsidR="009E30C8" w:rsidRPr="007A22C9">
        <w:rPr>
          <w:sz w:val="36"/>
          <w:szCs w:val="36"/>
        </w:rPr>
        <w:tab/>
      </w:r>
      <w:r w:rsidRPr="007A22C9">
        <w:rPr>
          <w:sz w:val="36"/>
          <w:szCs w:val="36"/>
        </w:rPr>
        <w:t>info@opm.co.uk</w:t>
      </w:r>
    </w:p>
    <w:p w14:paraId="4F4F74AD" w14:textId="77777777" w:rsidR="009F7D7E" w:rsidRDefault="009F7D7E" w:rsidP="001062D0">
      <w:pPr>
        <w:spacing w:before="0"/>
        <w:rPr>
          <w:sz w:val="18"/>
          <w:szCs w:val="18"/>
        </w:rPr>
      </w:pPr>
    </w:p>
    <w:p w14:paraId="363BEE95" w14:textId="77777777" w:rsidR="009F7D7E" w:rsidRDefault="009F7D7E">
      <w:pPr>
        <w:spacing w:before="0"/>
        <w:rPr>
          <w:sz w:val="18"/>
          <w:szCs w:val="18"/>
        </w:rPr>
      </w:pPr>
      <w:r>
        <w:rPr>
          <w:sz w:val="18"/>
          <w:szCs w:val="18"/>
        </w:rPr>
        <w:br w:type="page"/>
      </w:r>
    </w:p>
    <w:sdt>
      <w:sdtPr>
        <w:rPr>
          <w:rFonts w:asciiTheme="minorHAnsi" w:eastAsiaTheme="minorHAnsi" w:hAnsiTheme="minorHAnsi" w:cstheme="minorBidi"/>
          <w:b w:val="0"/>
          <w:sz w:val="22"/>
          <w:szCs w:val="22"/>
          <w:lang w:val="en-GB"/>
        </w:rPr>
        <w:id w:val="4115224"/>
        <w:docPartObj>
          <w:docPartGallery w:val="Table of Contents"/>
          <w:docPartUnique/>
        </w:docPartObj>
      </w:sdtPr>
      <w:sdtEndPr>
        <w:rPr>
          <w:sz w:val="28"/>
        </w:rPr>
      </w:sdtEndPr>
      <w:sdtContent>
        <w:p w14:paraId="343CACE3" w14:textId="77777777" w:rsidR="006217BC" w:rsidRPr="00061435" w:rsidRDefault="006217BC" w:rsidP="006217BC">
          <w:pPr>
            <w:pStyle w:val="TOCHeading"/>
            <w:rPr>
              <w:sz w:val="28"/>
              <w:szCs w:val="28"/>
            </w:rPr>
          </w:pPr>
          <w:r w:rsidRPr="00061435">
            <w:rPr>
              <w:sz w:val="28"/>
              <w:szCs w:val="28"/>
            </w:rPr>
            <w:t>Contents</w:t>
          </w:r>
        </w:p>
        <w:p w14:paraId="4965BF81" w14:textId="034A03CF" w:rsidR="00C40C61" w:rsidRPr="00573D80" w:rsidRDefault="000957B0">
          <w:pPr>
            <w:pStyle w:val="TOC1"/>
            <w:rPr>
              <w:rFonts w:asciiTheme="minorHAnsi" w:eastAsiaTheme="minorEastAsia" w:hAnsiTheme="minorHAnsi"/>
              <w:b w:val="0"/>
              <w:color w:val="auto"/>
              <w:sz w:val="28"/>
              <w:szCs w:val="28"/>
              <w:lang w:eastAsia="en-GB"/>
            </w:rPr>
          </w:pPr>
          <w:r w:rsidRPr="00061435">
            <w:rPr>
              <w:b w:val="0"/>
              <w:sz w:val="28"/>
              <w:szCs w:val="28"/>
            </w:rPr>
            <w:fldChar w:fldCharType="begin"/>
          </w:r>
          <w:r w:rsidRPr="00061435">
            <w:rPr>
              <w:b w:val="0"/>
              <w:sz w:val="28"/>
              <w:szCs w:val="28"/>
            </w:rPr>
            <w:instrText xml:space="preserve"> TOC \o "1-2" \h \z \u </w:instrText>
          </w:r>
          <w:r w:rsidRPr="00061435">
            <w:rPr>
              <w:b w:val="0"/>
              <w:sz w:val="28"/>
              <w:szCs w:val="28"/>
            </w:rPr>
            <w:fldChar w:fldCharType="separate"/>
          </w:r>
          <w:hyperlink w:anchor="_Toc485896954" w:history="1">
            <w:r w:rsidR="00C40C61" w:rsidRPr="00573D80">
              <w:rPr>
                <w:rStyle w:val="Hyperlink"/>
                <w:color w:val="auto"/>
                <w:sz w:val="28"/>
                <w:szCs w:val="28"/>
              </w:rPr>
              <w:t>Acknowledgements</w:t>
            </w:r>
            <w:r w:rsidR="00C40C61" w:rsidRPr="00573D80">
              <w:rPr>
                <w:webHidden/>
                <w:color w:val="auto"/>
                <w:sz w:val="28"/>
                <w:szCs w:val="28"/>
              </w:rPr>
              <w:tab/>
            </w:r>
            <w:r w:rsidR="00C40C61" w:rsidRPr="00573D80">
              <w:rPr>
                <w:webHidden/>
                <w:color w:val="auto"/>
                <w:sz w:val="28"/>
                <w:szCs w:val="28"/>
              </w:rPr>
              <w:fldChar w:fldCharType="begin"/>
            </w:r>
            <w:r w:rsidR="00C40C61" w:rsidRPr="00573D80">
              <w:rPr>
                <w:webHidden/>
                <w:color w:val="auto"/>
                <w:sz w:val="28"/>
                <w:szCs w:val="28"/>
              </w:rPr>
              <w:instrText xml:space="preserve"> PAGEREF _Toc485896954 \h </w:instrText>
            </w:r>
            <w:r w:rsidR="00C40C61" w:rsidRPr="00573D80">
              <w:rPr>
                <w:webHidden/>
                <w:color w:val="auto"/>
                <w:sz w:val="28"/>
                <w:szCs w:val="28"/>
              </w:rPr>
            </w:r>
            <w:r w:rsidR="00C40C61" w:rsidRPr="00573D80">
              <w:rPr>
                <w:webHidden/>
                <w:color w:val="auto"/>
                <w:sz w:val="28"/>
                <w:szCs w:val="28"/>
              </w:rPr>
              <w:fldChar w:fldCharType="separate"/>
            </w:r>
            <w:r w:rsidR="00497EB1">
              <w:rPr>
                <w:webHidden/>
                <w:color w:val="auto"/>
                <w:sz w:val="28"/>
                <w:szCs w:val="28"/>
              </w:rPr>
              <w:t>4</w:t>
            </w:r>
            <w:r w:rsidR="00C40C61" w:rsidRPr="00573D80">
              <w:rPr>
                <w:webHidden/>
                <w:color w:val="auto"/>
                <w:sz w:val="28"/>
                <w:szCs w:val="28"/>
              </w:rPr>
              <w:fldChar w:fldCharType="end"/>
            </w:r>
          </w:hyperlink>
        </w:p>
        <w:p w14:paraId="5F7098E5" w14:textId="1802CFCD" w:rsidR="00C40C61" w:rsidRPr="00573D80" w:rsidRDefault="00D32912">
          <w:pPr>
            <w:pStyle w:val="TOC1"/>
            <w:rPr>
              <w:rFonts w:asciiTheme="minorHAnsi" w:eastAsiaTheme="minorEastAsia" w:hAnsiTheme="minorHAnsi"/>
              <w:b w:val="0"/>
              <w:color w:val="auto"/>
              <w:sz w:val="28"/>
              <w:szCs w:val="28"/>
              <w:lang w:eastAsia="en-GB"/>
            </w:rPr>
          </w:pPr>
          <w:hyperlink w:anchor="_Toc485896955" w:history="1">
            <w:r w:rsidR="00C40C61" w:rsidRPr="00573D80">
              <w:rPr>
                <w:rStyle w:val="Hyperlink"/>
                <w:color w:val="auto"/>
                <w:sz w:val="28"/>
                <w:szCs w:val="28"/>
              </w:rPr>
              <w:t>Glossary of terms used in this report</w:t>
            </w:r>
            <w:r w:rsidR="00C40C61" w:rsidRPr="00573D80">
              <w:rPr>
                <w:webHidden/>
                <w:color w:val="auto"/>
                <w:sz w:val="28"/>
                <w:szCs w:val="28"/>
              </w:rPr>
              <w:tab/>
            </w:r>
            <w:r w:rsidR="00C40C61" w:rsidRPr="00573D80">
              <w:rPr>
                <w:webHidden/>
                <w:color w:val="auto"/>
                <w:sz w:val="28"/>
                <w:szCs w:val="28"/>
              </w:rPr>
              <w:fldChar w:fldCharType="begin"/>
            </w:r>
            <w:r w:rsidR="00C40C61" w:rsidRPr="00573D80">
              <w:rPr>
                <w:webHidden/>
                <w:color w:val="auto"/>
                <w:sz w:val="28"/>
                <w:szCs w:val="28"/>
              </w:rPr>
              <w:instrText xml:space="preserve"> PAGEREF _Toc485896955 \h </w:instrText>
            </w:r>
            <w:r w:rsidR="00C40C61" w:rsidRPr="00573D80">
              <w:rPr>
                <w:webHidden/>
                <w:color w:val="auto"/>
                <w:sz w:val="28"/>
                <w:szCs w:val="28"/>
              </w:rPr>
            </w:r>
            <w:r w:rsidR="00C40C61" w:rsidRPr="00573D80">
              <w:rPr>
                <w:webHidden/>
                <w:color w:val="auto"/>
                <w:sz w:val="28"/>
                <w:szCs w:val="28"/>
              </w:rPr>
              <w:fldChar w:fldCharType="separate"/>
            </w:r>
            <w:r w:rsidR="00497EB1">
              <w:rPr>
                <w:webHidden/>
                <w:color w:val="auto"/>
                <w:sz w:val="28"/>
                <w:szCs w:val="28"/>
              </w:rPr>
              <w:t>4</w:t>
            </w:r>
            <w:r w:rsidR="00C40C61" w:rsidRPr="00573D80">
              <w:rPr>
                <w:webHidden/>
                <w:color w:val="auto"/>
                <w:sz w:val="28"/>
                <w:szCs w:val="28"/>
              </w:rPr>
              <w:fldChar w:fldCharType="end"/>
            </w:r>
          </w:hyperlink>
        </w:p>
        <w:p w14:paraId="7DA66BA5" w14:textId="7A36EF1E" w:rsidR="00C40C61" w:rsidRPr="00573D80" w:rsidRDefault="00D32912">
          <w:pPr>
            <w:pStyle w:val="TOC1"/>
            <w:rPr>
              <w:rFonts w:asciiTheme="minorHAnsi" w:eastAsiaTheme="minorEastAsia" w:hAnsiTheme="minorHAnsi"/>
              <w:b w:val="0"/>
              <w:color w:val="auto"/>
              <w:sz w:val="28"/>
              <w:szCs w:val="28"/>
              <w:lang w:eastAsia="en-GB"/>
            </w:rPr>
          </w:pPr>
          <w:hyperlink w:anchor="_Toc485896956" w:history="1">
            <w:r w:rsidR="00C40C61" w:rsidRPr="00573D80">
              <w:rPr>
                <w:rStyle w:val="Hyperlink"/>
                <w:color w:val="auto"/>
                <w:sz w:val="28"/>
                <w:szCs w:val="28"/>
              </w:rPr>
              <w:t>Executive Summary</w:t>
            </w:r>
            <w:r w:rsidR="00C40C61" w:rsidRPr="00573D80">
              <w:rPr>
                <w:webHidden/>
                <w:color w:val="auto"/>
                <w:sz w:val="28"/>
                <w:szCs w:val="28"/>
              </w:rPr>
              <w:tab/>
            </w:r>
            <w:r w:rsidR="00C40C61" w:rsidRPr="00573D80">
              <w:rPr>
                <w:webHidden/>
                <w:color w:val="auto"/>
                <w:sz w:val="28"/>
                <w:szCs w:val="28"/>
              </w:rPr>
              <w:fldChar w:fldCharType="begin"/>
            </w:r>
            <w:r w:rsidR="00C40C61" w:rsidRPr="00573D80">
              <w:rPr>
                <w:webHidden/>
                <w:color w:val="auto"/>
                <w:sz w:val="28"/>
                <w:szCs w:val="28"/>
              </w:rPr>
              <w:instrText xml:space="preserve"> PAGEREF _Toc485896956 \h </w:instrText>
            </w:r>
            <w:r w:rsidR="00C40C61" w:rsidRPr="00573D80">
              <w:rPr>
                <w:webHidden/>
                <w:color w:val="auto"/>
                <w:sz w:val="28"/>
                <w:szCs w:val="28"/>
              </w:rPr>
            </w:r>
            <w:r w:rsidR="00C40C61" w:rsidRPr="00573D80">
              <w:rPr>
                <w:webHidden/>
                <w:color w:val="auto"/>
                <w:sz w:val="28"/>
                <w:szCs w:val="28"/>
              </w:rPr>
              <w:fldChar w:fldCharType="separate"/>
            </w:r>
            <w:r w:rsidR="00497EB1">
              <w:rPr>
                <w:webHidden/>
                <w:color w:val="auto"/>
                <w:sz w:val="28"/>
                <w:szCs w:val="28"/>
              </w:rPr>
              <w:t>7</w:t>
            </w:r>
            <w:r w:rsidR="00C40C61" w:rsidRPr="00573D80">
              <w:rPr>
                <w:webHidden/>
                <w:color w:val="auto"/>
                <w:sz w:val="28"/>
                <w:szCs w:val="28"/>
              </w:rPr>
              <w:fldChar w:fldCharType="end"/>
            </w:r>
          </w:hyperlink>
        </w:p>
        <w:p w14:paraId="747C8CB4" w14:textId="1D40E06B" w:rsidR="00C40C61" w:rsidRPr="00573D80" w:rsidRDefault="00D32912">
          <w:pPr>
            <w:pStyle w:val="TOC2"/>
            <w:rPr>
              <w:rFonts w:asciiTheme="minorHAnsi" w:eastAsiaTheme="minorEastAsia" w:hAnsiTheme="minorHAnsi"/>
              <w:color w:val="auto"/>
              <w:sz w:val="28"/>
              <w:szCs w:val="28"/>
              <w:lang w:eastAsia="en-GB"/>
            </w:rPr>
          </w:pPr>
          <w:hyperlink w:anchor="_Toc485896957" w:history="1">
            <w:r w:rsidR="00C40C61" w:rsidRPr="00573D80">
              <w:rPr>
                <w:rStyle w:val="Hyperlink"/>
                <w:color w:val="auto"/>
                <w:sz w:val="28"/>
                <w:szCs w:val="28"/>
              </w:rPr>
              <w:t>Introduction</w:t>
            </w:r>
            <w:r w:rsidR="00C40C61" w:rsidRPr="00573D80">
              <w:rPr>
                <w:webHidden/>
                <w:color w:val="auto"/>
                <w:sz w:val="28"/>
                <w:szCs w:val="28"/>
              </w:rPr>
              <w:tab/>
            </w:r>
            <w:r w:rsidR="00C40C61" w:rsidRPr="00573D80">
              <w:rPr>
                <w:webHidden/>
                <w:color w:val="auto"/>
                <w:sz w:val="28"/>
                <w:szCs w:val="28"/>
              </w:rPr>
              <w:fldChar w:fldCharType="begin"/>
            </w:r>
            <w:r w:rsidR="00C40C61" w:rsidRPr="00573D80">
              <w:rPr>
                <w:webHidden/>
                <w:color w:val="auto"/>
                <w:sz w:val="28"/>
                <w:szCs w:val="28"/>
              </w:rPr>
              <w:instrText xml:space="preserve"> PAGEREF _Toc485896957 \h </w:instrText>
            </w:r>
            <w:r w:rsidR="00C40C61" w:rsidRPr="00573D80">
              <w:rPr>
                <w:webHidden/>
                <w:color w:val="auto"/>
                <w:sz w:val="28"/>
                <w:szCs w:val="28"/>
              </w:rPr>
            </w:r>
            <w:r w:rsidR="00C40C61" w:rsidRPr="00573D80">
              <w:rPr>
                <w:webHidden/>
                <w:color w:val="auto"/>
                <w:sz w:val="28"/>
                <w:szCs w:val="28"/>
              </w:rPr>
              <w:fldChar w:fldCharType="separate"/>
            </w:r>
            <w:r w:rsidR="00497EB1">
              <w:rPr>
                <w:webHidden/>
                <w:color w:val="auto"/>
                <w:sz w:val="28"/>
                <w:szCs w:val="28"/>
              </w:rPr>
              <w:t>7</w:t>
            </w:r>
            <w:r w:rsidR="00C40C61" w:rsidRPr="00573D80">
              <w:rPr>
                <w:webHidden/>
                <w:color w:val="auto"/>
                <w:sz w:val="28"/>
                <w:szCs w:val="28"/>
              </w:rPr>
              <w:fldChar w:fldCharType="end"/>
            </w:r>
          </w:hyperlink>
        </w:p>
        <w:p w14:paraId="692EC7A7" w14:textId="4F15DE6C" w:rsidR="00C40C61" w:rsidRPr="00573D80" w:rsidRDefault="00D32912">
          <w:pPr>
            <w:pStyle w:val="TOC2"/>
            <w:rPr>
              <w:rFonts w:asciiTheme="minorHAnsi" w:eastAsiaTheme="minorEastAsia" w:hAnsiTheme="minorHAnsi"/>
              <w:color w:val="auto"/>
              <w:sz w:val="28"/>
              <w:szCs w:val="28"/>
              <w:lang w:eastAsia="en-GB"/>
            </w:rPr>
          </w:pPr>
          <w:hyperlink w:anchor="_Toc485896958" w:history="1">
            <w:r w:rsidR="00C40C61" w:rsidRPr="00573D80">
              <w:rPr>
                <w:rStyle w:val="Hyperlink"/>
                <w:color w:val="auto"/>
                <w:sz w:val="28"/>
                <w:szCs w:val="28"/>
              </w:rPr>
              <w:t>Key Findings</w:t>
            </w:r>
            <w:r w:rsidR="00C40C61" w:rsidRPr="00573D80">
              <w:rPr>
                <w:webHidden/>
                <w:color w:val="auto"/>
                <w:sz w:val="28"/>
                <w:szCs w:val="28"/>
              </w:rPr>
              <w:tab/>
            </w:r>
            <w:r w:rsidR="00C40C61" w:rsidRPr="00573D80">
              <w:rPr>
                <w:webHidden/>
                <w:color w:val="auto"/>
                <w:sz w:val="28"/>
                <w:szCs w:val="28"/>
              </w:rPr>
              <w:fldChar w:fldCharType="begin"/>
            </w:r>
            <w:r w:rsidR="00C40C61" w:rsidRPr="00573D80">
              <w:rPr>
                <w:webHidden/>
                <w:color w:val="auto"/>
                <w:sz w:val="28"/>
                <w:szCs w:val="28"/>
              </w:rPr>
              <w:instrText xml:space="preserve"> PAGEREF _Toc485896958 \h </w:instrText>
            </w:r>
            <w:r w:rsidR="00C40C61" w:rsidRPr="00573D80">
              <w:rPr>
                <w:webHidden/>
                <w:color w:val="auto"/>
                <w:sz w:val="28"/>
                <w:szCs w:val="28"/>
              </w:rPr>
            </w:r>
            <w:r w:rsidR="00C40C61" w:rsidRPr="00573D80">
              <w:rPr>
                <w:webHidden/>
                <w:color w:val="auto"/>
                <w:sz w:val="28"/>
                <w:szCs w:val="28"/>
              </w:rPr>
              <w:fldChar w:fldCharType="separate"/>
            </w:r>
            <w:r w:rsidR="00497EB1">
              <w:rPr>
                <w:webHidden/>
                <w:color w:val="auto"/>
                <w:sz w:val="28"/>
                <w:szCs w:val="28"/>
              </w:rPr>
              <w:t>8</w:t>
            </w:r>
            <w:r w:rsidR="00C40C61" w:rsidRPr="00573D80">
              <w:rPr>
                <w:webHidden/>
                <w:color w:val="auto"/>
                <w:sz w:val="28"/>
                <w:szCs w:val="28"/>
              </w:rPr>
              <w:fldChar w:fldCharType="end"/>
            </w:r>
          </w:hyperlink>
        </w:p>
        <w:p w14:paraId="42AE5205" w14:textId="071A5A0A" w:rsidR="00C40C61" w:rsidRPr="00573D80" w:rsidRDefault="00D32912">
          <w:pPr>
            <w:pStyle w:val="TOC2"/>
            <w:rPr>
              <w:rFonts w:asciiTheme="minorHAnsi" w:eastAsiaTheme="minorEastAsia" w:hAnsiTheme="minorHAnsi"/>
              <w:color w:val="auto"/>
              <w:sz w:val="28"/>
              <w:szCs w:val="28"/>
              <w:lang w:eastAsia="en-GB"/>
            </w:rPr>
          </w:pPr>
          <w:hyperlink w:anchor="_Toc485896959" w:history="1">
            <w:r w:rsidR="00C40C61" w:rsidRPr="00573D80">
              <w:rPr>
                <w:rStyle w:val="Hyperlink"/>
                <w:color w:val="auto"/>
                <w:sz w:val="28"/>
                <w:szCs w:val="28"/>
              </w:rPr>
              <w:t>Recommendations for further research</w:t>
            </w:r>
            <w:r w:rsidR="00C40C61" w:rsidRPr="00573D80">
              <w:rPr>
                <w:webHidden/>
                <w:color w:val="auto"/>
                <w:sz w:val="28"/>
                <w:szCs w:val="28"/>
              </w:rPr>
              <w:tab/>
            </w:r>
            <w:r w:rsidR="00C40C61" w:rsidRPr="00573D80">
              <w:rPr>
                <w:webHidden/>
                <w:color w:val="auto"/>
                <w:sz w:val="28"/>
                <w:szCs w:val="28"/>
              </w:rPr>
              <w:fldChar w:fldCharType="begin"/>
            </w:r>
            <w:r w:rsidR="00C40C61" w:rsidRPr="00573D80">
              <w:rPr>
                <w:webHidden/>
                <w:color w:val="auto"/>
                <w:sz w:val="28"/>
                <w:szCs w:val="28"/>
              </w:rPr>
              <w:instrText xml:space="preserve"> PAGEREF _Toc485896959 \h </w:instrText>
            </w:r>
            <w:r w:rsidR="00C40C61" w:rsidRPr="00573D80">
              <w:rPr>
                <w:webHidden/>
                <w:color w:val="auto"/>
                <w:sz w:val="28"/>
                <w:szCs w:val="28"/>
              </w:rPr>
            </w:r>
            <w:r w:rsidR="00C40C61" w:rsidRPr="00573D80">
              <w:rPr>
                <w:webHidden/>
                <w:color w:val="auto"/>
                <w:sz w:val="28"/>
                <w:szCs w:val="28"/>
              </w:rPr>
              <w:fldChar w:fldCharType="separate"/>
            </w:r>
            <w:r w:rsidR="00497EB1">
              <w:rPr>
                <w:webHidden/>
                <w:color w:val="auto"/>
                <w:sz w:val="28"/>
                <w:szCs w:val="28"/>
              </w:rPr>
              <w:t>15</w:t>
            </w:r>
            <w:r w:rsidR="00C40C61" w:rsidRPr="00573D80">
              <w:rPr>
                <w:webHidden/>
                <w:color w:val="auto"/>
                <w:sz w:val="28"/>
                <w:szCs w:val="28"/>
              </w:rPr>
              <w:fldChar w:fldCharType="end"/>
            </w:r>
          </w:hyperlink>
        </w:p>
        <w:p w14:paraId="348D696D" w14:textId="62D1FFF9" w:rsidR="00C40C61" w:rsidRPr="00573D80" w:rsidRDefault="00D32912">
          <w:pPr>
            <w:pStyle w:val="TOC1"/>
            <w:tabs>
              <w:tab w:val="left" w:pos="567"/>
            </w:tabs>
            <w:rPr>
              <w:rFonts w:asciiTheme="minorHAnsi" w:eastAsiaTheme="minorEastAsia" w:hAnsiTheme="minorHAnsi"/>
              <w:b w:val="0"/>
              <w:color w:val="auto"/>
              <w:sz w:val="28"/>
              <w:szCs w:val="28"/>
              <w:lang w:eastAsia="en-GB"/>
            </w:rPr>
          </w:pPr>
          <w:hyperlink w:anchor="_Toc485896960" w:history="1">
            <w:r w:rsidR="00C40C61" w:rsidRPr="00573D80">
              <w:rPr>
                <w:rStyle w:val="Hyperlink"/>
                <w:color w:val="auto"/>
                <w:sz w:val="28"/>
                <w:szCs w:val="28"/>
              </w:rPr>
              <w:t>1.</w:t>
            </w:r>
            <w:r w:rsidR="00C40C61" w:rsidRPr="00573D80">
              <w:rPr>
                <w:rFonts w:asciiTheme="minorHAnsi" w:eastAsiaTheme="minorEastAsia" w:hAnsiTheme="minorHAnsi"/>
                <w:b w:val="0"/>
                <w:color w:val="auto"/>
                <w:sz w:val="28"/>
                <w:szCs w:val="28"/>
                <w:lang w:eastAsia="en-GB"/>
              </w:rPr>
              <w:tab/>
            </w:r>
            <w:r w:rsidR="00C40C61" w:rsidRPr="00573D80">
              <w:rPr>
                <w:rStyle w:val="Hyperlink"/>
                <w:color w:val="auto"/>
                <w:sz w:val="28"/>
                <w:szCs w:val="28"/>
              </w:rPr>
              <w:t>Introduction</w:t>
            </w:r>
            <w:r w:rsidR="00C40C61" w:rsidRPr="00573D80">
              <w:rPr>
                <w:webHidden/>
                <w:color w:val="auto"/>
                <w:sz w:val="28"/>
                <w:szCs w:val="28"/>
              </w:rPr>
              <w:tab/>
            </w:r>
            <w:r w:rsidR="00C40C61" w:rsidRPr="00573D80">
              <w:rPr>
                <w:webHidden/>
                <w:color w:val="auto"/>
                <w:sz w:val="28"/>
                <w:szCs w:val="28"/>
              </w:rPr>
              <w:fldChar w:fldCharType="begin"/>
            </w:r>
            <w:r w:rsidR="00C40C61" w:rsidRPr="00573D80">
              <w:rPr>
                <w:webHidden/>
                <w:color w:val="auto"/>
                <w:sz w:val="28"/>
                <w:szCs w:val="28"/>
              </w:rPr>
              <w:instrText xml:space="preserve"> PAGEREF _Toc485896960 \h </w:instrText>
            </w:r>
            <w:r w:rsidR="00C40C61" w:rsidRPr="00573D80">
              <w:rPr>
                <w:webHidden/>
                <w:color w:val="auto"/>
                <w:sz w:val="28"/>
                <w:szCs w:val="28"/>
              </w:rPr>
            </w:r>
            <w:r w:rsidR="00C40C61" w:rsidRPr="00573D80">
              <w:rPr>
                <w:webHidden/>
                <w:color w:val="auto"/>
                <w:sz w:val="28"/>
                <w:szCs w:val="28"/>
              </w:rPr>
              <w:fldChar w:fldCharType="separate"/>
            </w:r>
            <w:r w:rsidR="00497EB1">
              <w:rPr>
                <w:webHidden/>
                <w:color w:val="auto"/>
                <w:sz w:val="28"/>
                <w:szCs w:val="28"/>
              </w:rPr>
              <w:t>16</w:t>
            </w:r>
            <w:r w:rsidR="00C40C61" w:rsidRPr="00573D80">
              <w:rPr>
                <w:webHidden/>
                <w:color w:val="auto"/>
                <w:sz w:val="28"/>
                <w:szCs w:val="28"/>
              </w:rPr>
              <w:fldChar w:fldCharType="end"/>
            </w:r>
          </w:hyperlink>
        </w:p>
        <w:p w14:paraId="30124BBF" w14:textId="03448925" w:rsidR="00C40C61" w:rsidRPr="00573D80" w:rsidRDefault="00D32912">
          <w:pPr>
            <w:pStyle w:val="TOC2"/>
            <w:rPr>
              <w:rFonts w:asciiTheme="minorHAnsi" w:eastAsiaTheme="minorEastAsia" w:hAnsiTheme="minorHAnsi"/>
              <w:color w:val="auto"/>
              <w:sz w:val="28"/>
              <w:szCs w:val="28"/>
              <w:lang w:eastAsia="en-GB"/>
            </w:rPr>
          </w:pPr>
          <w:hyperlink w:anchor="_Toc485896961" w:history="1">
            <w:r w:rsidR="00C40C61" w:rsidRPr="00573D80">
              <w:rPr>
                <w:rStyle w:val="Hyperlink"/>
                <w:color w:val="auto"/>
                <w:sz w:val="28"/>
                <w:szCs w:val="28"/>
              </w:rPr>
              <w:t>1.1 Reading this report</w:t>
            </w:r>
            <w:r w:rsidR="00C40C61" w:rsidRPr="00573D80">
              <w:rPr>
                <w:webHidden/>
                <w:color w:val="auto"/>
                <w:sz w:val="28"/>
                <w:szCs w:val="28"/>
              </w:rPr>
              <w:tab/>
            </w:r>
            <w:r w:rsidR="00C40C61" w:rsidRPr="00573D80">
              <w:rPr>
                <w:webHidden/>
                <w:color w:val="auto"/>
                <w:sz w:val="28"/>
                <w:szCs w:val="28"/>
              </w:rPr>
              <w:fldChar w:fldCharType="begin"/>
            </w:r>
            <w:r w:rsidR="00C40C61" w:rsidRPr="00573D80">
              <w:rPr>
                <w:webHidden/>
                <w:color w:val="auto"/>
                <w:sz w:val="28"/>
                <w:szCs w:val="28"/>
              </w:rPr>
              <w:instrText xml:space="preserve"> PAGEREF _Toc485896961 \h </w:instrText>
            </w:r>
            <w:r w:rsidR="00C40C61" w:rsidRPr="00573D80">
              <w:rPr>
                <w:webHidden/>
                <w:color w:val="auto"/>
                <w:sz w:val="28"/>
                <w:szCs w:val="28"/>
              </w:rPr>
            </w:r>
            <w:r w:rsidR="00C40C61" w:rsidRPr="00573D80">
              <w:rPr>
                <w:webHidden/>
                <w:color w:val="auto"/>
                <w:sz w:val="28"/>
                <w:szCs w:val="28"/>
              </w:rPr>
              <w:fldChar w:fldCharType="separate"/>
            </w:r>
            <w:r w:rsidR="00497EB1">
              <w:rPr>
                <w:webHidden/>
                <w:color w:val="auto"/>
                <w:sz w:val="28"/>
                <w:szCs w:val="28"/>
              </w:rPr>
              <w:t>17</w:t>
            </w:r>
            <w:r w:rsidR="00C40C61" w:rsidRPr="00573D80">
              <w:rPr>
                <w:webHidden/>
                <w:color w:val="auto"/>
                <w:sz w:val="28"/>
                <w:szCs w:val="28"/>
              </w:rPr>
              <w:fldChar w:fldCharType="end"/>
            </w:r>
          </w:hyperlink>
        </w:p>
        <w:p w14:paraId="48F0AD5C" w14:textId="0E5D6751" w:rsidR="00C40C61" w:rsidRPr="00573D80" w:rsidRDefault="00D32912">
          <w:pPr>
            <w:pStyle w:val="TOC1"/>
            <w:tabs>
              <w:tab w:val="left" w:pos="567"/>
            </w:tabs>
            <w:rPr>
              <w:rFonts w:asciiTheme="minorHAnsi" w:eastAsiaTheme="minorEastAsia" w:hAnsiTheme="minorHAnsi"/>
              <w:b w:val="0"/>
              <w:color w:val="auto"/>
              <w:sz w:val="28"/>
              <w:szCs w:val="28"/>
              <w:lang w:eastAsia="en-GB"/>
            </w:rPr>
          </w:pPr>
          <w:hyperlink w:anchor="_Toc485896962" w:history="1">
            <w:r w:rsidR="00C40C61" w:rsidRPr="00573D80">
              <w:rPr>
                <w:rStyle w:val="Hyperlink"/>
                <w:color w:val="auto"/>
                <w:sz w:val="28"/>
                <w:szCs w:val="28"/>
              </w:rPr>
              <w:t>2.</w:t>
            </w:r>
            <w:r w:rsidR="00C40C61" w:rsidRPr="00573D80">
              <w:rPr>
                <w:rFonts w:asciiTheme="minorHAnsi" w:eastAsiaTheme="minorEastAsia" w:hAnsiTheme="minorHAnsi"/>
                <w:b w:val="0"/>
                <w:color w:val="auto"/>
                <w:sz w:val="28"/>
                <w:szCs w:val="28"/>
                <w:lang w:eastAsia="en-GB"/>
              </w:rPr>
              <w:tab/>
            </w:r>
            <w:r w:rsidR="00C40C61" w:rsidRPr="00573D80">
              <w:rPr>
                <w:rStyle w:val="Hyperlink"/>
                <w:color w:val="auto"/>
                <w:sz w:val="28"/>
                <w:szCs w:val="28"/>
              </w:rPr>
              <w:t>Methodology</w:t>
            </w:r>
            <w:r w:rsidR="00C40C61" w:rsidRPr="00573D80">
              <w:rPr>
                <w:webHidden/>
                <w:color w:val="auto"/>
                <w:sz w:val="28"/>
                <w:szCs w:val="28"/>
              </w:rPr>
              <w:tab/>
            </w:r>
            <w:r w:rsidR="00C40C61" w:rsidRPr="00573D80">
              <w:rPr>
                <w:webHidden/>
                <w:color w:val="auto"/>
                <w:sz w:val="28"/>
                <w:szCs w:val="28"/>
              </w:rPr>
              <w:fldChar w:fldCharType="begin"/>
            </w:r>
            <w:r w:rsidR="00C40C61" w:rsidRPr="00573D80">
              <w:rPr>
                <w:webHidden/>
                <w:color w:val="auto"/>
                <w:sz w:val="28"/>
                <w:szCs w:val="28"/>
              </w:rPr>
              <w:instrText xml:space="preserve"> PAGEREF _Toc485896962 \h </w:instrText>
            </w:r>
            <w:r w:rsidR="00C40C61" w:rsidRPr="00573D80">
              <w:rPr>
                <w:webHidden/>
                <w:color w:val="auto"/>
                <w:sz w:val="28"/>
                <w:szCs w:val="28"/>
              </w:rPr>
            </w:r>
            <w:r w:rsidR="00C40C61" w:rsidRPr="00573D80">
              <w:rPr>
                <w:webHidden/>
                <w:color w:val="auto"/>
                <w:sz w:val="28"/>
                <w:szCs w:val="28"/>
              </w:rPr>
              <w:fldChar w:fldCharType="separate"/>
            </w:r>
            <w:r w:rsidR="00497EB1">
              <w:rPr>
                <w:webHidden/>
                <w:color w:val="auto"/>
                <w:sz w:val="28"/>
                <w:szCs w:val="28"/>
              </w:rPr>
              <w:t>17</w:t>
            </w:r>
            <w:r w:rsidR="00C40C61" w:rsidRPr="00573D80">
              <w:rPr>
                <w:webHidden/>
                <w:color w:val="auto"/>
                <w:sz w:val="28"/>
                <w:szCs w:val="28"/>
              </w:rPr>
              <w:fldChar w:fldCharType="end"/>
            </w:r>
          </w:hyperlink>
        </w:p>
        <w:p w14:paraId="54378D7E" w14:textId="40BF5079" w:rsidR="00C40C61" w:rsidRPr="00573D80" w:rsidRDefault="00D32912">
          <w:pPr>
            <w:pStyle w:val="TOC2"/>
            <w:rPr>
              <w:rFonts w:asciiTheme="minorHAnsi" w:eastAsiaTheme="minorEastAsia" w:hAnsiTheme="minorHAnsi"/>
              <w:color w:val="auto"/>
              <w:sz w:val="28"/>
              <w:szCs w:val="28"/>
              <w:lang w:eastAsia="en-GB"/>
            </w:rPr>
          </w:pPr>
          <w:hyperlink w:anchor="_Toc485896963" w:history="1">
            <w:r w:rsidR="00C40C61" w:rsidRPr="00573D80">
              <w:rPr>
                <w:rStyle w:val="Hyperlink"/>
                <w:color w:val="auto"/>
                <w:sz w:val="28"/>
                <w:szCs w:val="28"/>
              </w:rPr>
              <w:t>2.1 Principles underpinning our approach</w:t>
            </w:r>
            <w:r w:rsidR="00C40C61" w:rsidRPr="00573D80">
              <w:rPr>
                <w:webHidden/>
                <w:color w:val="auto"/>
                <w:sz w:val="28"/>
                <w:szCs w:val="28"/>
              </w:rPr>
              <w:tab/>
            </w:r>
            <w:r w:rsidR="00C40C61" w:rsidRPr="00573D80">
              <w:rPr>
                <w:webHidden/>
                <w:color w:val="auto"/>
                <w:sz w:val="28"/>
                <w:szCs w:val="28"/>
              </w:rPr>
              <w:fldChar w:fldCharType="begin"/>
            </w:r>
            <w:r w:rsidR="00C40C61" w:rsidRPr="00573D80">
              <w:rPr>
                <w:webHidden/>
                <w:color w:val="auto"/>
                <w:sz w:val="28"/>
                <w:szCs w:val="28"/>
              </w:rPr>
              <w:instrText xml:space="preserve"> PAGEREF _Toc485896963 \h </w:instrText>
            </w:r>
            <w:r w:rsidR="00C40C61" w:rsidRPr="00573D80">
              <w:rPr>
                <w:webHidden/>
                <w:color w:val="auto"/>
                <w:sz w:val="28"/>
                <w:szCs w:val="28"/>
              </w:rPr>
            </w:r>
            <w:r w:rsidR="00C40C61" w:rsidRPr="00573D80">
              <w:rPr>
                <w:webHidden/>
                <w:color w:val="auto"/>
                <w:sz w:val="28"/>
                <w:szCs w:val="28"/>
              </w:rPr>
              <w:fldChar w:fldCharType="separate"/>
            </w:r>
            <w:r w:rsidR="00497EB1">
              <w:rPr>
                <w:webHidden/>
                <w:color w:val="auto"/>
                <w:sz w:val="28"/>
                <w:szCs w:val="28"/>
              </w:rPr>
              <w:t>17</w:t>
            </w:r>
            <w:r w:rsidR="00C40C61" w:rsidRPr="00573D80">
              <w:rPr>
                <w:webHidden/>
                <w:color w:val="auto"/>
                <w:sz w:val="28"/>
                <w:szCs w:val="28"/>
              </w:rPr>
              <w:fldChar w:fldCharType="end"/>
            </w:r>
          </w:hyperlink>
        </w:p>
        <w:p w14:paraId="723C0A44" w14:textId="6517422B" w:rsidR="00C40C61" w:rsidRPr="00573D80" w:rsidRDefault="00D32912">
          <w:pPr>
            <w:pStyle w:val="TOC2"/>
            <w:rPr>
              <w:rFonts w:asciiTheme="minorHAnsi" w:eastAsiaTheme="minorEastAsia" w:hAnsiTheme="minorHAnsi"/>
              <w:color w:val="auto"/>
              <w:sz w:val="28"/>
              <w:szCs w:val="28"/>
              <w:lang w:eastAsia="en-GB"/>
            </w:rPr>
          </w:pPr>
          <w:hyperlink w:anchor="_Toc485896964" w:history="1">
            <w:r w:rsidR="00C40C61" w:rsidRPr="00573D80">
              <w:rPr>
                <w:rStyle w:val="Hyperlink"/>
                <w:color w:val="auto"/>
                <w:sz w:val="28"/>
                <w:szCs w:val="28"/>
              </w:rPr>
              <w:t>2.2 The economic assessment technique</w:t>
            </w:r>
            <w:r w:rsidR="00C40C61" w:rsidRPr="00573D80">
              <w:rPr>
                <w:webHidden/>
                <w:color w:val="auto"/>
                <w:sz w:val="28"/>
                <w:szCs w:val="28"/>
              </w:rPr>
              <w:tab/>
            </w:r>
            <w:r w:rsidR="00C40C61" w:rsidRPr="00573D80">
              <w:rPr>
                <w:webHidden/>
                <w:color w:val="auto"/>
                <w:sz w:val="28"/>
                <w:szCs w:val="28"/>
              </w:rPr>
              <w:fldChar w:fldCharType="begin"/>
            </w:r>
            <w:r w:rsidR="00C40C61" w:rsidRPr="00573D80">
              <w:rPr>
                <w:webHidden/>
                <w:color w:val="auto"/>
                <w:sz w:val="28"/>
                <w:szCs w:val="28"/>
              </w:rPr>
              <w:instrText xml:space="preserve"> PAGEREF _Toc485896964 \h </w:instrText>
            </w:r>
            <w:r w:rsidR="00C40C61" w:rsidRPr="00573D80">
              <w:rPr>
                <w:webHidden/>
                <w:color w:val="auto"/>
                <w:sz w:val="28"/>
                <w:szCs w:val="28"/>
              </w:rPr>
            </w:r>
            <w:r w:rsidR="00C40C61" w:rsidRPr="00573D80">
              <w:rPr>
                <w:webHidden/>
                <w:color w:val="auto"/>
                <w:sz w:val="28"/>
                <w:szCs w:val="28"/>
              </w:rPr>
              <w:fldChar w:fldCharType="separate"/>
            </w:r>
            <w:r w:rsidR="00497EB1">
              <w:rPr>
                <w:webHidden/>
                <w:color w:val="auto"/>
                <w:sz w:val="28"/>
                <w:szCs w:val="28"/>
              </w:rPr>
              <w:t>19</w:t>
            </w:r>
            <w:r w:rsidR="00C40C61" w:rsidRPr="00573D80">
              <w:rPr>
                <w:webHidden/>
                <w:color w:val="auto"/>
                <w:sz w:val="28"/>
                <w:szCs w:val="28"/>
              </w:rPr>
              <w:fldChar w:fldCharType="end"/>
            </w:r>
          </w:hyperlink>
        </w:p>
        <w:p w14:paraId="0462B756" w14:textId="27ED0E1B" w:rsidR="00C40C61" w:rsidRPr="00573D80" w:rsidRDefault="00D32912">
          <w:pPr>
            <w:pStyle w:val="TOC2"/>
            <w:rPr>
              <w:rFonts w:asciiTheme="minorHAnsi" w:eastAsiaTheme="minorEastAsia" w:hAnsiTheme="minorHAnsi"/>
              <w:color w:val="auto"/>
              <w:sz w:val="28"/>
              <w:szCs w:val="28"/>
              <w:lang w:eastAsia="en-GB"/>
            </w:rPr>
          </w:pPr>
          <w:hyperlink w:anchor="_Toc485896965" w:history="1">
            <w:r w:rsidR="00C40C61" w:rsidRPr="00573D80">
              <w:rPr>
                <w:rStyle w:val="Hyperlink"/>
                <w:color w:val="auto"/>
                <w:sz w:val="28"/>
                <w:szCs w:val="28"/>
              </w:rPr>
              <w:t>2.3 The process</w:t>
            </w:r>
            <w:r w:rsidR="00C40C61" w:rsidRPr="00573D80">
              <w:rPr>
                <w:webHidden/>
                <w:color w:val="auto"/>
                <w:sz w:val="28"/>
                <w:szCs w:val="28"/>
              </w:rPr>
              <w:tab/>
            </w:r>
            <w:r w:rsidR="00C40C61" w:rsidRPr="00573D80">
              <w:rPr>
                <w:webHidden/>
                <w:color w:val="auto"/>
                <w:sz w:val="28"/>
                <w:szCs w:val="28"/>
              </w:rPr>
              <w:fldChar w:fldCharType="begin"/>
            </w:r>
            <w:r w:rsidR="00C40C61" w:rsidRPr="00573D80">
              <w:rPr>
                <w:webHidden/>
                <w:color w:val="auto"/>
                <w:sz w:val="28"/>
                <w:szCs w:val="28"/>
              </w:rPr>
              <w:instrText xml:space="preserve"> PAGEREF _Toc485896965 \h </w:instrText>
            </w:r>
            <w:r w:rsidR="00C40C61" w:rsidRPr="00573D80">
              <w:rPr>
                <w:webHidden/>
                <w:color w:val="auto"/>
                <w:sz w:val="28"/>
                <w:szCs w:val="28"/>
              </w:rPr>
            </w:r>
            <w:r w:rsidR="00C40C61" w:rsidRPr="00573D80">
              <w:rPr>
                <w:webHidden/>
                <w:color w:val="auto"/>
                <w:sz w:val="28"/>
                <w:szCs w:val="28"/>
              </w:rPr>
              <w:fldChar w:fldCharType="separate"/>
            </w:r>
            <w:r w:rsidR="00497EB1">
              <w:rPr>
                <w:webHidden/>
                <w:color w:val="auto"/>
                <w:sz w:val="28"/>
                <w:szCs w:val="28"/>
              </w:rPr>
              <w:t>19</w:t>
            </w:r>
            <w:r w:rsidR="00C40C61" w:rsidRPr="00573D80">
              <w:rPr>
                <w:webHidden/>
                <w:color w:val="auto"/>
                <w:sz w:val="28"/>
                <w:szCs w:val="28"/>
              </w:rPr>
              <w:fldChar w:fldCharType="end"/>
            </w:r>
          </w:hyperlink>
        </w:p>
        <w:p w14:paraId="5A200F9E" w14:textId="2F7F0B0B" w:rsidR="00C40C61" w:rsidRPr="00573D80" w:rsidRDefault="00D32912">
          <w:pPr>
            <w:pStyle w:val="TOC2"/>
            <w:rPr>
              <w:rFonts w:asciiTheme="minorHAnsi" w:eastAsiaTheme="minorEastAsia" w:hAnsiTheme="minorHAnsi"/>
              <w:color w:val="auto"/>
              <w:sz w:val="28"/>
              <w:szCs w:val="28"/>
              <w:lang w:eastAsia="en-GB"/>
            </w:rPr>
          </w:pPr>
          <w:hyperlink w:anchor="_Toc485896966" w:history="1">
            <w:r w:rsidR="00C40C61" w:rsidRPr="00573D80">
              <w:rPr>
                <w:rStyle w:val="Hyperlink"/>
                <w:color w:val="auto"/>
                <w:sz w:val="28"/>
                <w:szCs w:val="28"/>
              </w:rPr>
              <w:t>2.4 Data collection methods</w:t>
            </w:r>
            <w:r w:rsidR="00C40C61" w:rsidRPr="00573D80">
              <w:rPr>
                <w:webHidden/>
                <w:color w:val="auto"/>
                <w:sz w:val="28"/>
                <w:szCs w:val="28"/>
              </w:rPr>
              <w:tab/>
            </w:r>
            <w:r w:rsidR="00C40C61" w:rsidRPr="00573D80">
              <w:rPr>
                <w:webHidden/>
                <w:color w:val="auto"/>
                <w:sz w:val="28"/>
                <w:szCs w:val="28"/>
              </w:rPr>
              <w:fldChar w:fldCharType="begin"/>
            </w:r>
            <w:r w:rsidR="00C40C61" w:rsidRPr="00573D80">
              <w:rPr>
                <w:webHidden/>
                <w:color w:val="auto"/>
                <w:sz w:val="28"/>
                <w:szCs w:val="28"/>
              </w:rPr>
              <w:instrText xml:space="preserve"> PAGEREF _Toc485896966 \h </w:instrText>
            </w:r>
            <w:r w:rsidR="00C40C61" w:rsidRPr="00573D80">
              <w:rPr>
                <w:webHidden/>
                <w:color w:val="auto"/>
                <w:sz w:val="28"/>
                <w:szCs w:val="28"/>
              </w:rPr>
            </w:r>
            <w:r w:rsidR="00C40C61" w:rsidRPr="00573D80">
              <w:rPr>
                <w:webHidden/>
                <w:color w:val="auto"/>
                <w:sz w:val="28"/>
                <w:szCs w:val="28"/>
              </w:rPr>
              <w:fldChar w:fldCharType="separate"/>
            </w:r>
            <w:r w:rsidR="00497EB1">
              <w:rPr>
                <w:webHidden/>
                <w:color w:val="auto"/>
                <w:sz w:val="28"/>
                <w:szCs w:val="28"/>
              </w:rPr>
              <w:t>21</w:t>
            </w:r>
            <w:r w:rsidR="00C40C61" w:rsidRPr="00573D80">
              <w:rPr>
                <w:webHidden/>
                <w:color w:val="auto"/>
                <w:sz w:val="28"/>
                <w:szCs w:val="28"/>
              </w:rPr>
              <w:fldChar w:fldCharType="end"/>
            </w:r>
          </w:hyperlink>
        </w:p>
        <w:p w14:paraId="1B041524" w14:textId="185B2212" w:rsidR="00C40C61" w:rsidRPr="00573D80" w:rsidRDefault="00D32912">
          <w:pPr>
            <w:pStyle w:val="TOC1"/>
            <w:tabs>
              <w:tab w:val="left" w:pos="567"/>
            </w:tabs>
            <w:rPr>
              <w:rFonts w:asciiTheme="minorHAnsi" w:eastAsiaTheme="minorEastAsia" w:hAnsiTheme="minorHAnsi"/>
              <w:b w:val="0"/>
              <w:color w:val="auto"/>
              <w:sz w:val="28"/>
              <w:szCs w:val="28"/>
              <w:lang w:eastAsia="en-GB"/>
            </w:rPr>
          </w:pPr>
          <w:hyperlink w:anchor="_Toc485896967" w:history="1">
            <w:r w:rsidR="00C40C61" w:rsidRPr="00573D80">
              <w:rPr>
                <w:rStyle w:val="Hyperlink"/>
                <w:color w:val="auto"/>
                <w:sz w:val="28"/>
                <w:szCs w:val="28"/>
              </w:rPr>
              <w:t>3.</w:t>
            </w:r>
            <w:r w:rsidR="00C40C61" w:rsidRPr="00573D80">
              <w:rPr>
                <w:rFonts w:asciiTheme="minorHAnsi" w:eastAsiaTheme="minorEastAsia" w:hAnsiTheme="minorHAnsi"/>
                <w:b w:val="0"/>
                <w:color w:val="auto"/>
                <w:sz w:val="28"/>
                <w:szCs w:val="28"/>
                <w:lang w:eastAsia="en-GB"/>
              </w:rPr>
              <w:tab/>
            </w:r>
            <w:r w:rsidR="00C40C61" w:rsidRPr="00573D80">
              <w:rPr>
                <w:rStyle w:val="Hyperlink"/>
                <w:color w:val="auto"/>
                <w:sz w:val="28"/>
                <w:szCs w:val="28"/>
              </w:rPr>
              <w:t>Understanding vision rehabilitation</w:t>
            </w:r>
            <w:r w:rsidR="00C40C61" w:rsidRPr="00573D80">
              <w:rPr>
                <w:webHidden/>
                <w:color w:val="auto"/>
                <w:sz w:val="28"/>
                <w:szCs w:val="28"/>
              </w:rPr>
              <w:tab/>
            </w:r>
            <w:r w:rsidR="00C40C61" w:rsidRPr="00573D80">
              <w:rPr>
                <w:webHidden/>
                <w:color w:val="auto"/>
                <w:sz w:val="28"/>
                <w:szCs w:val="28"/>
              </w:rPr>
              <w:fldChar w:fldCharType="begin"/>
            </w:r>
            <w:r w:rsidR="00C40C61" w:rsidRPr="00573D80">
              <w:rPr>
                <w:webHidden/>
                <w:color w:val="auto"/>
                <w:sz w:val="28"/>
                <w:szCs w:val="28"/>
              </w:rPr>
              <w:instrText xml:space="preserve"> PAGEREF _Toc485896967 \h </w:instrText>
            </w:r>
            <w:r w:rsidR="00C40C61" w:rsidRPr="00573D80">
              <w:rPr>
                <w:webHidden/>
                <w:color w:val="auto"/>
                <w:sz w:val="28"/>
                <w:szCs w:val="28"/>
              </w:rPr>
            </w:r>
            <w:r w:rsidR="00C40C61" w:rsidRPr="00573D80">
              <w:rPr>
                <w:webHidden/>
                <w:color w:val="auto"/>
                <w:sz w:val="28"/>
                <w:szCs w:val="28"/>
              </w:rPr>
              <w:fldChar w:fldCharType="separate"/>
            </w:r>
            <w:r w:rsidR="00497EB1">
              <w:rPr>
                <w:webHidden/>
                <w:color w:val="auto"/>
                <w:sz w:val="28"/>
                <w:szCs w:val="28"/>
              </w:rPr>
              <w:t>24</w:t>
            </w:r>
            <w:r w:rsidR="00C40C61" w:rsidRPr="00573D80">
              <w:rPr>
                <w:webHidden/>
                <w:color w:val="auto"/>
                <w:sz w:val="28"/>
                <w:szCs w:val="28"/>
              </w:rPr>
              <w:fldChar w:fldCharType="end"/>
            </w:r>
          </w:hyperlink>
        </w:p>
        <w:p w14:paraId="06ABB968" w14:textId="28DFF4FD" w:rsidR="00C40C61" w:rsidRPr="00573D80" w:rsidRDefault="00D32912">
          <w:pPr>
            <w:pStyle w:val="TOC2"/>
            <w:rPr>
              <w:rFonts w:asciiTheme="minorHAnsi" w:eastAsiaTheme="minorEastAsia" w:hAnsiTheme="minorHAnsi"/>
              <w:color w:val="auto"/>
              <w:sz w:val="28"/>
              <w:szCs w:val="28"/>
              <w:lang w:eastAsia="en-GB"/>
            </w:rPr>
          </w:pPr>
          <w:hyperlink w:anchor="_Toc485896968" w:history="1">
            <w:r w:rsidR="00C40C61" w:rsidRPr="00573D80">
              <w:rPr>
                <w:rStyle w:val="Hyperlink"/>
                <w:color w:val="auto"/>
                <w:sz w:val="28"/>
                <w:szCs w:val="28"/>
              </w:rPr>
              <w:t>3.1 Components of a vision rehabilitation service</w:t>
            </w:r>
            <w:r w:rsidR="00C40C61" w:rsidRPr="00573D80">
              <w:rPr>
                <w:webHidden/>
                <w:color w:val="auto"/>
                <w:sz w:val="28"/>
                <w:szCs w:val="28"/>
              </w:rPr>
              <w:tab/>
            </w:r>
            <w:r w:rsidR="00C40C61" w:rsidRPr="00573D80">
              <w:rPr>
                <w:webHidden/>
                <w:color w:val="auto"/>
                <w:sz w:val="28"/>
                <w:szCs w:val="28"/>
              </w:rPr>
              <w:fldChar w:fldCharType="begin"/>
            </w:r>
            <w:r w:rsidR="00C40C61" w:rsidRPr="00573D80">
              <w:rPr>
                <w:webHidden/>
                <w:color w:val="auto"/>
                <w:sz w:val="28"/>
                <w:szCs w:val="28"/>
              </w:rPr>
              <w:instrText xml:space="preserve"> PAGEREF _Toc485896968 \h </w:instrText>
            </w:r>
            <w:r w:rsidR="00C40C61" w:rsidRPr="00573D80">
              <w:rPr>
                <w:webHidden/>
                <w:color w:val="auto"/>
                <w:sz w:val="28"/>
                <w:szCs w:val="28"/>
              </w:rPr>
            </w:r>
            <w:r w:rsidR="00C40C61" w:rsidRPr="00573D80">
              <w:rPr>
                <w:webHidden/>
                <w:color w:val="auto"/>
                <w:sz w:val="28"/>
                <w:szCs w:val="28"/>
              </w:rPr>
              <w:fldChar w:fldCharType="separate"/>
            </w:r>
            <w:r w:rsidR="00497EB1">
              <w:rPr>
                <w:webHidden/>
                <w:color w:val="auto"/>
                <w:sz w:val="28"/>
                <w:szCs w:val="28"/>
              </w:rPr>
              <w:t>24</w:t>
            </w:r>
            <w:r w:rsidR="00C40C61" w:rsidRPr="00573D80">
              <w:rPr>
                <w:webHidden/>
                <w:color w:val="auto"/>
                <w:sz w:val="28"/>
                <w:szCs w:val="28"/>
              </w:rPr>
              <w:fldChar w:fldCharType="end"/>
            </w:r>
          </w:hyperlink>
        </w:p>
        <w:p w14:paraId="04F48E85" w14:textId="27C7ED6E" w:rsidR="00C40C61" w:rsidRPr="00573D80" w:rsidRDefault="00D32912">
          <w:pPr>
            <w:pStyle w:val="TOC2"/>
            <w:rPr>
              <w:rFonts w:asciiTheme="minorHAnsi" w:eastAsiaTheme="minorEastAsia" w:hAnsiTheme="minorHAnsi"/>
              <w:color w:val="auto"/>
              <w:sz w:val="28"/>
              <w:szCs w:val="28"/>
              <w:lang w:eastAsia="en-GB"/>
            </w:rPr>
          </w:pPr>
          <w:hyperlink w:anchor="_Toc485896969" w:history="1">
            <w:r w:rsidR="00C40C61" w:rsidRPr="00573D80">
              <w:rPr>
                <w:rStyle w:val="Hyperlink"/>
                <w:color w:val="auto"/>
                <w:sz w:val="28"/>
                <w:szCs w:val="28"/>
              </w:rPr>
              <w:t>3.2 The Case Study: Sight for Surrey</w:t>
            </w:r>
            <w:r w:rsidR="00C40C61" w:rsidRPr="00573D80">
              <w:rPr>
                <w:webHidden/>
                <w:color w:val="auto"/>
                <w:sz w:val="28"/>
                <w:szCs w:val="28"/>
              </w:rPr>
              <w:tab/>
            </w:r>
            <w:r w:rsidR="00C40C61" w:rsidRPr="00573D80">
              <w:rPr>
                <w:webHidden/>
                <w:color w:val="auto"/>
                <w:sz w:val="28"/>
                <w:szCs w:val="28"/>
              </w:rPr>
              <w:fldChar w:fldCharType="begin"/>
            </w:r>
            <w:r w:rsidR="00C40C61" w:rsidRPr="00573D80">
              <w:rPr>
                <w:webHidden/>
                <w:color w:val="auto"/>
                <w:sz w:val="28"/>
                <w:szCs w:val="28"/>
              </w:rPr>
              <w:instrText xml:space="preserve"> PAGEREF _Toc485896969 \h </w:instrText>
            </w:r>
            <w:r w:rsidR="00C40C61" w:rsidRPr="00573D80">
              <w:rPr>
                <w:webHidden/>
                <w:color w:val="auto"/>
                <w:sz w:val="28"/>
                <w:szCs w:val="28"/>
              </w:rPr>
            </w:r>
            <w:r w:rsidR="00C40C61" w:rsidRPr="00573D80">
              <w:rPr>
                <w:webHidden/>
                <w:color w:val="auto"/>
                <w:sz w:val="28"/>
                <w:szCs w:val="28"/>
              </w:rPr>
              <w:fldChar w:fldCharType="separate"/>
            </w:r>
            <w:r w:rsidR="00497EB1">
              <w:rPr>
                <w:webHidden/>
                <w:color w:val="auto"/>
                <w:sz w:val="28"/>
                <w:szCs w:val="28"/>
              </w:rPr>
              <w:t>28</w:t>
            </w:r>
            <w:r w:rsidR="00C40C61" w:rsidRPr="00573D80">
              <w:rPr>
                <w:webHidden/>
                <w:color w:val="auto"/>
                <w:sz w:val="28"/>
                <w:szCs w:val="28"/>
              </w:rPr>
              <w:fldChar w:fldCharType="end"/>
            </w:r>
          </w:hyperlink>
        </w:p>
        <w:p w14:paraId="350C3F96" w14:textId="2E8D0C7A" w:rsidR="00C40C61" w:rsidRPr="00573D80" w:rsidRDefault="00D32912">
          <w:pPr>
            <w:pStyle w:val="TOC1"/>
            <w:tabs>
              <w:tab w:val="left" w:pos="567"/>
            </w:tabs>
            <w:rPr>
              <w:rFonts w:asciiTheme="minorHAnsi" w:eastAsiaTheme="minorEastAsia" w:hAnsiTheme="minorHAnsi"/>
              <w:b w:val="0"/>
              <w:color w:val="auto"/>
              <w:sz w:val="28"/>
              <w:szCs w:val="28"/>
              <w:lang w:eastAsia="en-GB"/>
            </w:rPr>
          </w:pPr>
          <w:hyperlink w:anchor="_Toc485896970" w:history="1">
            <w:r w:rsidR="00C40C61" w:rsidRPr="00573D80">
              <w:rPr>
                <w:rStyle w:val="Hyperlink"/>
                <w:color w:val="auto"/>
                <w:sz w:val="28"/>
                <w:szCs w:val="28"/>
              </w:rPr>
              <w:t>4.</w:t>
            </w:r>
            <w:r w:rsidR="00C40C61" w:rsidRPr="00573D80">
              <w:rPr>
                <w:rFonts w:asciiTheme="minorHAnsi" w:eastAsiaTheme="minorEastAsia" w:hAnsiTheme="minorHAnsi"/>
                <w:b w:val="0"/>
                <w:color w:val="auto"/>
                <w:sz w:val="28"/>
                <w:szCs w:val="28"/>
                <w:lang w:eastAsia="en-GB"/>
              </w:rPr>
              <w:tab/>
            </w:r>
            <w:r w:rsidR="00C40C61" w:rsidRPr="00573D80">
              <w:rPr>
                <w:rStyle w:val="Hyperlink"/>
                <w:color w:val="auto"/>
                <w:sz w:val="28"/>
                <w:szCs w:val="28"/>
              </w:rPr>
              <w:t>Findings</w:t>
            </w:r>
            <w:r w:rsidR="00C40C61" w:rsidRPr="00573D80">
              <w:rPr>
                <w:webHidden/>
                <w:color w:val="auto"/>
                <w:sz w:val="28"/>
                <w:szCs w:val="28"/>
              </w:rPr>
              <w:tab/>
            </w:r>
            <w:r w:rsidR="00C40C61" w:rsidRPr="00573D80">
              <w:rPr>
                <w:webHidden/>
                <w:color w:val="auto"/>
                <w:sz w:val="28"/>
                <w:szCs w:val="28"/>
              </w:rPr>
              <w:fldChar w:fldCharType="begin"/>
            </w:r>
            <w:r w:rsidR="00C40C61" w:rsidRPr="00573D80">
              <w:rPr>
                <w:webHidden/>
                <w:color w:val="auto"/>
                <w:sz w:val="28"/>
                <w:szCs w:val="28"/>
              </w:rPr>
              <w:instrText xml:space="preserve"> PAGEREF _Toc485896970 \h </w:instrText>
            </w:r>
            <w:r w:rsidR="00C40C61" w:rsidRPr="00573D80">
              <w:rPr>
                <w:webHidden/>
                <w:color w:val="auto"/>
                <w:sz w:val="28"/>
                <w:szCs w:val="28"/>
              </w:rPr>
            </w:r>
            <w:r w:rsidR="00C40C61" w:rsidRPr="00573D80">
              <w:rPr>
                <w:webHidden/>
                <w:color w:val="auto"/>
                <w:sz w:val="28"/>
                <w:szCs w:val="28"/>
              </w:rPr>
              <w:fldChar w:fldCharType="separate"/>
            </w:r>
            <w:r w:rsidR="00497EB1">
              <w:rPr>
                <w:webHidden/>
                <w:color w:val="auto"/>
                <w:sz w:val="28"/>
                <w:szCs w:val="28"/>
              </w:rPr>
              <w:t>31</w:t>
            </w:r>
            <w:r w:rsidR="00C40C61" w:rsidRPr="00573D80">
              <w:rPr>
                <w:webHidden/>
                <w:color w:val="auto"/>
                <w:sz w:val="28"/>
                <w:szCs w:val="28"/>
              </w:rPr>
              <w:fldChar w:fldCharType="end"/>
            </w:r>
          </w:hyperlink>
        </w:p>
        <w:p w14:paraId="31F02AF8" w14:textId="11004B55" w:rsidR="00C40C61" w:rsidRPr="00573D80" w:rsidRDefault="00D32912">
          <w:pPr>
            <w:pStyle w:val="TOC2"/>
            <w:rPr>
              <w:rFonts w:asciiTheme="minorHAnsi" w:eastAsiaTheme="minorEastAsia" w:hAnsiTheme="minorHAnsi"/>
              <w:color w:val="auto"/>
              <w:sz w:val="28"/>
              <w:szCs w:val="28"/>
              <w:lang w:eastAsia="en-GB"/>
            </w:rPr>
          </w:pPr>
          <w:hyperlink w:anchor="_Toc485896971" w:history="1">
            <w:r w:rsidR="00C40C61" w:rsidRPr="00573D80">
              <w:rPr>
                <w:rStyle w:val="Hyperlink"/>
                <w:color w:val="auto"/>
                <w:sz w:val="28"/>
                <w:szCs w:val="28"/>
              </w:rPr>
              <w:t>4.1 The cost of vision rehabilitation</w:t>
            </w:r>
            <w:r w:rsidR="00C40C61" w:rsidRPr="00573D80">
              <w:rPr>
                <w:webHidden/>
                <w:color w:val="auto"/>
                <w:sz w:val="28"/>
                <w:szCs w:val="28"/>
              </w:rPr>
              <w:tab/>
            </w:r>
            <w:r w:rsidR="00C40C61" w:rsidRPr="00573D80">
              <w:rPr>
                <w:webHidden/>
                <w:color w:val="auto"/>
                <w:sz w:val="28"/>
                <w:szCs w:val="28"/>
              </w:rPr>
              <w:fldChar w:fldCharType="begin"/>
            </w:r>
            <w:r w:rsidR="00C40C61" w:rsidRPr="00573D80">
              <w:rPr>
                <w:webHidden/>
                <w:color w:val="auto"/>
                <w:sz w:val="28"/>
                <w:szCs w:val="28"/>
              </w:rPr>
              <w:instrText xml:space="preserve"> PAGEREF _Toc485896971 \h </w:instrText>
            </w:r>
            <w:r w:rsidR="00C40C61" w:rsidRPr="00573D80">
              <w:rPr>
                <w:webHidden/>
                <w:color w:val="auto"/>
                <w:sz w:val="28"/>
                <w:szCs w:val="28"/>
              </w:rPr>
            </w:r>
            <w:r w:rsidR="00C40C61" w:rsidRPr="00573D80">
              <w:rPr>
                <w:webHidden/>
                <w:color w:val="auto"/>
                <w:sz w:val="28"/>
                <w:szCs w:val="28"/>
              </w:rPr>
              <w:fldChar w:fldCharType="separate"/>
            </w:r>
            <w:r w:rsidR="00497EB1">
              <w:rPr>
                <w:webHidden/>
                <w:color w:val="auto"/>
                <w:sz w:val="28"/>
                <w:szCs w:val="28"/>
              </w:rPr>
              <w:t>31</w:t>
            </w:r>
            <w:r w:rsidR="00C40C61" w:rsidRPr="00573D80">
              <w:rPr>
                <w:webHidden/>
                <w:color w:val="auto"/>
                <w:sz w:val="28"/>
                <w:szCs w:val="28"/>
              </w:rPr>
              <w:fldChar w:fldCharType="end"/>
            </w:r>
          </w:hyperlink>
        </w:p>
        <w:p w14:paraId="65AD3EE3" w14:textId="3C30AC92" w:rsidR="00C40C61" w:rsidRPr="00573D80" w:rsidRDefault="00D32912">
          <w:pPr>
            <w:pStyle w:val="TOC2"/>
            <w:rPr>
              <w:rFonts w:asciiTheme="minorHAnsi" w:eastAsiaTheme="minorEastAsia" w:hAnsiTheme="minorHAnsi"/>
              <w:color w:val="auto"/>
              <w:sz w:val="28"/>
              <w:szCs w:val="28"/>
              <w:lang w:eastAsia="en-GB"/>
            </w:rPr>
          </w:pPr>
          <w:hyperlink w:anchor="_Toc485896972" w:history="1">
            <w:r w:rsidR="00C40C61" w:rsidRPr="00573D80">
              <w:rPr>
                <w:rStyle w:val="Hyperlink"/>
                <w:color w:val="auto"/>
                <w:sz w:val="28"/>
                <w:szCs w:val="28"/>
              </w:rPr>
              <w:t>4.2 The impact of vision rehabilitation</w:t>
            </w:r>
            <w:r w:rsidR="00C40C61" w:rsidRPr="00573D80">
              <w:rPr>
                <w:webHidden/>
                <w:color w:val="auto"/>
                <w:sz w:val="28"/>
                <w:szCs w:val="28"/>
              </w:rPr>
              <w:tab/>
            </w:r>
            <w:r w:rsidR="00C40C61" w:rsidRPr="00573D80">
              <w:rPr>
                <w:webHidden/>
                <w:color w:val="auto"/>
                <w:sz w:val="28"/>
                <w:szCs w:val="28"/>
              </w:rPr>
              <w:fldChar w:fldCharType="begin"/>
            </w:r>
            <w:r w:rsidR="00C40C61" w:rsidRPr="00573D80">
              <w:rPr>
                <w:webHidden/>
                <w:color w:val="auto"/>
                <w:sz w:val="28"/>
                <w:szCs w:val="28"/>
              </w:rPr>
              <w:instrText xml:space="preserve"> PAGEREF _Toc485896972 \h </w:instrText>
            </w:r>
            <w:r w:rsidR="00C40C61" w:rsidRPr="00573D80">
              <w:rPr>
                <w:webHidden/>
                <w:color w:val="auto"/>
                <w:sz w:val="28"/>
                <w:szCs w:val="28"/>
              </w:rPr>
            </w:r>
            <w:r w:rsidR="00C40C61" w:rsidRPr="00573D80">
              <w:rPr>
                <w:webHidden/>
                <w:color w:val="auto"/>
                <w:sz w:val="28"/>
                <w:szCs w:val="28"/>
              </w:rPr>
              <w:fldChar w:fldCharType="separate"/>
            </w:r>
            <w:r w:rsidR="00497EB1">
              <w:rPr>
                <w:webHidden/>
                <w:color w:val="auto"/>
                <w:sz w:val="28"/>
                <w:szCs w:val="28"/>
              </w:rPr>
              <w:t>36</w:t>
            </w:r>
            <w:r w:rsidR="00C40C61" w:rsidRPr="00573D80">
              <w:rPr>
                <w:webHidden/>
                <w:color w:val="auto"/>
                <w:sz w:val="28"/>
                <w:szCs w:val="28"/>
              </w:rPr>
              <w:fldChar w:fldCharType="end"/>
            </w:r>
          </w:hyperlink>
        </w:p>
        <w:p w14:paraId="42527FA7" w14:textId="72DC96A7" w:rsidR="00C40C61" w:rsidRPr="00573D80" w:rsidRDefault="00D32912">
          <w:pPr>
            <w:pStyle w:val="TOC2"/>
            <w:rPr>
              <w:rFonts w:asciiTheme="minorHAnsi" w:eastAsiaTheme="minorEastAsia" w:hAnsiTheme="minorHAnsi"/>
              <w:color w:val="auto"/>
              <w:sz w:val="28"/>
              <w:szCs w:val="28"/>
              <w:lang w:eastAsia="en-GB"/>
            </w:rPr>
          </w:pPr>
          <w:hyperlink w:anchor="_Toc485896973" w:history="1">
            <w:r w:rsidR="00C40C61" w:rsidRPr="00573D80">
              <w:rPr>
                <w:rStyle w:val="Hyperlink"/>
                <w:color w:val="auto"/>
                <w:sz w:val="28"/>
                <w:szCs w:val="28"/>
                <w:lang w:eastAsia="en-GB"/>
              </w:rPr>
              <w:t>4.3 Valuing outcomes in monetary terms</w:t>
            </w:r>
            <w:r w:rsidR="00C40C61" w:rsidRPr="00573D80">
              <w:rPr>
                <w:webHidden/>
                <w:color w:val="auto"/>
                <w:sz w:val="28"/>
                <w:szCs w:val="28"/>
              </w:rPr>
              <w:tab/>
            </w:r>
            <w:r w:rsidR="00C40C61" w:rsidRPr="00573D80">
              <w:rPr>
                <w:webHidden/>
                <w:color w:val="auto"/>
                <w:sz w:val="28"/>
                <w:szCs w:val="28"/>
              </w:rPr>
              <w:fldChar w:fldCharType="begin"/>
            </w:r>
            <w:r w:rsidR="00C40C61" w:rsidRPr="00573D80">
              <w:rPr>
                <w:webHidden/>
                <w:color w:val="auto"/>
                <w:sz w:val="28"/>
                <w:szCs w:val="28"/>
              </w:rPr>
              <w:instrText xml:space="preserve"> PAGEREF _Toc485896973 \h </w:instrText>
            </w:r>
            <w:r w:rsidR="00C40C61" w:rsidRPr="00573D80">
              <w:rPr>
                <w:webHidden/>
                <w:color w:val="auto"/>
                <w:sz w:val="28"/>
                <w:szCs w:val="28"/>
              </w:rPr>
            </w:r>
            <w:r w:rsidR="00C40C61" w:rsidRPr="00573D80">
              <w:rPr>
                <w:webHidden/>
                <w:color w:val="auto"/>
                <w:sz w:val="28"/>
                <w:szCs w:val="28"/>
              </w:rPr>
              <w:fldChar w:fldCharType="separate"/>
            </w:r>
            <w:r w:rsidR="00497EB1">
              <w:rPr>
                <w:webHidden/>
                <w:color w:val="auto"/>
                <w:sz w:val="28"/>
                <w:szCs w:val="28"/>
              </w:rPr>
              <w:t>42</w:t>
            </w:r>
            <w:r w:rsidR="00C40C61" w:rsidRPr="00573D80">
              <w:rPr>
                <w:webHidden/>
                <w:color w:val="auto"/>
                <w:sz w:val="28"/>
                <w:szCs w:val="28"/>
              </w:rPr>
              <w:fldChar w:fldCharType="end"/>
            </w:r>
          </w:hyperlink>
        </w:p>
        <w:p w14:paraId="71F806CD" w14:textId="15D05C8C" w:rsidR="00C40C61" w:rsidRPr="00573D80" w:rsidRDefault="00D32912">
          <w:pPr>
            <w:pStyle w:val="TOC1"/>
            <w:tabs>
              <w:tab w:val="left" w:pos="567"/>
            </w:tabs>
            <w:rPr>
              <w:rFonts w:asciiTheme="minorHAnsi" w:eastAsiaTheme="minorEastAsia" w:hAnsiTheme="minorHAnsi"/>
              <w:b w:val="0"/>
              <w:color w:val="auto"/>
              <w:sz w:val="28"/>
              <w:szCs w:val="28"/>
              <w:lang w:eastAsia="en-GB"/>
            </w:rPr>
          </w:pPr>
          <w:hyperlink w:anchor="_Toc485896974" w:history="1">
            <w:r w:rsidR="00C40C61" w:rsidRPr="00573D80">
              <w:rPr>
                <w:rStyle w:val="Hyperlink"/>
                <w:color w:val="auto"/>
                <w:sz w:val="28"/>
                <w:szCs w:val="28"/>
              </w:rPr>
              <w:t>5.</w:t>
            </w:r>
            <w:r w:rsidR="00C40C61" w:rsidRPr="00573D80">
              <w:rPr>
                <w:rFonts w:asciiTheme="minorHAnsi" w:eastAsiaTheme="minorEastAsia" w:hAnsiTheme="minorHAnsi"/>
                <w:b w:val="0"/>
                <w:color w:val="auto"/>
                <w:sz w:val="28"/>
                <w:szCs w:val="28"/>
                <w:lang w:eastAsia="en-GB"/>
              </w:rPr>
              <w:tab/>
            </w:r>
            <w:r w:rsidR="00C40C61" w:rsidRPr="00573D80">
              <w:rPr>
                <w:rStyle w:val="Hyperlink"/>
                <w:color w:val="auto"/>
                <w:sz w:val="28"/>
                <w:szCs w:val="28"/>
              </w:rPr>
              <w:t>Conclusions</w:t>
            </w:r>
            <w:r w:rsidR="00C40C61" w:rsidRPr="00573D80">
              <w:rPr>
                <w:webHidden/>
                <w:color w:val="auto"/>
                <w:sz w:val="28"/>
                <w:szCs w:val="28"/>
              </w:rPr>
              <w:tab/>
            </w:r>
            <w:r w:rsidR="00C40C61" w:rsidRPr="00573D80">
              <w:rPr>
                <w:webHidden/>
                <w:color w:val="auto"/>
                <w:sz w:val="28"/>
                <w:szCs w:val="28"/>
              </w:rPr>
              <w:fldChar w:fldCharType="begin"/>
            </w:r>
            <w:r w:rsidR="00C40C61" w:rsidRPr="00573D80">
              <w:rPr>
                <w:webHidden/>
                <w:color w:val="auto"/>
                <w:sz w:val="28"/>
                <w:szCs w:val="28"/>
              </w:rPr>
              <w:instrText xml:space="preserve"> PAGEREF _Toc485896974 \h </w:instrText>
            </w:r>
            <w:r w:rsidR="00C40C61" w:rsidRPr="00573D80">
              <w:rPr>
                <w:webHidden/>
                <w:color w:val="auto"/>
                <w:sz w:val="28"/>
                <w:szCs w:val="28"/>
              </w:rPr>
            </w:r>
            <w:r w:rsidR="00C40C61" w:rsidRPr="00573D80">
              <w:rPr>
                <w:webHidden/>
                <w:color w:val="auto"/>
                <w:sz w:val="28"/>
                <w:szCs w:val="28"/>
              </w:rPr>
              <w:fldChar w:fldCharType="separate"/>
            </w:r>
            <w:r w:rsidR="00497EB1">
              <w:rPr>
                <w:webHidden/>
                <w:color w:val="auto"/>
                <w:sz w:val="28"/>
                <w:szCs w:val="28"/>
              </w:rPr>
              <w:t>56</w:t>
            </w:r>
            <w:r w:rsidR="00C40C61" w:rsidRPr="00573D80">
              <w:rPr>
                <w:webHidden/>
                <w:color w:val="auto"/>
                <w:sz w:val="28"/>
                <w:szCs w:val="28"/>
              </w:rPr>
              <w:fldChar w:fldCharType="end"/>
            </w:r>
          </w:hyperlink>
        </w:p>
        <w:p w14:paraId="5329DE35" w14:textId="5D5ADB40" w:rsidR="00C40C61" w:rsidRPr="00573D80" w:rsidRDefault="00D32912">
          <w:pPr>
            <w:pStyle w:val="TOC2"/>
            <w:rPr>
              <w:rFonts w:asciiTheme="minorHAnsi" w:eastAsiaTheme="minorEastAsia" w:hAnsiTheme="minorHAnsi"/>
              <w:color w:val="auto"/>
              <w:sz w:val="28"/>
              <w:szCs w:val="28"/>
              <w:lang w:eastAsia="en-GB"/>
            </w:rPr>
          </w:pPr>
          <w:hyperlink w:anchor="_Toc485896975" w:history="1">
            <w:r w:rsidR="00C40C61" w:rsidRPr="00573D80">
              <w:rPr>
                <w:rStyle w:val="Hyperlink"/>
                <w:color w:val="auto"/>
                <w:sz w:val="28"/>
                <w:szCs w:val="28"/>
              </w:rPr>
              <w:t>The cost of vision rehabilitation</w:t>
            </w:r>
            <w:r w:rsidR="00C40C61" w:rsidRPr="00573D80">
              <w:rPr>
                <w:webHidden/>
                <w:color w:val="auto"/>
                <w:sz w:val="28"/>
                <w:szCs w:val="28"/>
              </w:rPr>
              <w:tab/>
            </w:r>
            <w:r w:rsidR="00C40C61" w:rsidRPr="00573D80">
              <w:rPr>
                <w:webHidden/>
                <w:color w:val="auto"/>
                <w:sz w:val="28"/>
                <w:szCs w:val="28"/>
              </w:rPr>
              <w:fldChar w:fldCharType="begin"/>
            </w:r>
            <w:r w:rsidR="00C40C61" w:rsidRPr="00573D80">
              <w:rPr>
                <w:webHidden/>
                <w:color w:val="auto"/>
                <w:sz w:val="28"/>
                <w:szCs w:val="28"/>
              </w:rPr>
              <w:instrText xml:space="preserve"> PAGEREF _Toc485896975 \h </w:instrText>
            </w:r>
            <w:r w:rsidR="00C40C61" w:rsidRPr="00573D80">
              <w:rPr>
                <w:webHidden/>
                <w:color w:val="auto"/>
                <w:sz w:val="28"/>
                <w:szCs w:val="28"/>
              </w:rPr>
            </w:r>
            <w:r w:rsidR="00C40C61" w:rsidRPr="00573D80">
              <w:rPr>
                <w:webHidden/>
                <w:color w:val="auto"/>
                <w:sz w:val="28"/>
                <w:szCs w:val="28"/>
              </w:rPr>
              <w:fldChar w:fldCharType="separate"/>
            </w:r>
            <w:r w:rsidR="00497EB1">
              <w:rPr>
                <w:webHidden/>
                <w:color w:val="auto"/>
                <w:sz w:val="28"/>
                <w:szCs w:val="28"/>
              </w:rPr>
              <w:t>56</w:t>
            </w:r>
            <w:r w:rsidR="00C40C61" w:rsidRPr="00573D80">
              <w:rPr>
                <w:webHidden/>
                <w:color w:val="auto"/>
                <w:sz w:val="28"/>
                <w:szCs w:val="28"/>
              </w:rPr>
              <w:fldChar w:fldCharType="end"/>
            </w:r>
          </w:hyperlink>
        </w:p>
        <w:p w14:paraId="083E7B49" w14:textId="4FFE9B1B" w:rsidR="00C40C61" w:rsidRPr="00573D80" w:rsidRDefault="00D32912">
          <w:pPr>
            <w:pStyle w:val="TOC2"/>
            <w:rPr>
              <w:rFonts w:asciiTheme="minorHAnsi" w:eastAsiaTheme="minorEastAsia" w:hAnsiTheme="minorHAnsi"/>
              <w:color w:val="auto"/>
              <w:sz w:val="28"/>
              <w:szCs w:val="28"/>
              <w:lang w:eastAsia="en-GB"/>
            </w:rPr>
          </w:pPr>
          <w:hyperlink w:anchor="_Toc485896976" w:history="1">
            <w:r w:rsidR="00C40C61" w:rsidRPr="00573D80">
              <w:rPr>
                <w:rStyle w:val="Hyperlink"/>
                <w:color w:val="auto"/>
                <w:sz w:val="28"/>
                <w:szCs w:val="28"/>
              </w:rPr>
              <w:t>The impact of vision rehabilitation</w:t>
            </w:r>
            <w:r w:rsidR="00C40C61" w:rsidRPr="00573D80">
              <w:rPr>
                <w:webHidden/>
                <w:color w:val="auto"/>
                <w:sz w:val="28"/>
                <w:szCs w:val="28"/>
              </w:rPr>
              <w:tab/>
            </w:r>
            <w:r w:rsidR="00C40C61" w:rsidRPr="00573D80">
              <w:rPr>
                <w:webHidden/>
                <w:color w:val="auto"/>
                <w:sz w:val="28"/>
                <w:szCs w:val="28"/>
              </w:rPr>
              <w:fldChar w:fldCharType="begin"/>
            </w:r>
            <w:r w:rsidR="00C40C61" w:rsidRPr="00573D80">
              <w:rPr>
                <w:webHidden/>
                <w:color w:val="auto"/>
                <w:sz w:val="28"/>
                <w:szCs w:val="28"/>
              </w:rPr>
              <w:instrText xml:space="preserve"> PAGEREF _Toc485896976 \h </w:instrText>
            </w:r>
            <w:r w:rsidR="00C40C61" w:rsidRPr="00573D80">
              <w:rPr>
                <w:webHidden/>
                <w:color w:val="auto"/>
                <w:sz w:val="28"/>
                <w:szCs w:val="28"/>
              </w:rPr>
            </w:r>
            <w:r w:rsidR="00C40C61" w:rsidRPr="00573D80">
              <w:rPr>
                <w:webHidden/>
                <w:color w:val="auto"/>
                <w:sz w:val="28"/>
                <w:szCs w:val="28"/>
              </w:rPr>
              <w:fldChar w:fldCharType="separate"/>
            </w:r>
            <w:r w:rsidR="00497EB1">
              <w:rPr>
                <w:webHidden/>
                <w:color w:val="auto"/>
                <w:sz w:val="28"/>
                <w:szCs w:val="28"/>
              </w:rPr>
              <w:t>57</w:t>
            </w:r>
            <w:r w:rsidR="00C40C61" w:rsidRPr="00573D80">
              <w:rPr>
                <w:webHidden/>
                <w:color w:val="auto"/>
                <w:sz w:val="28"/>
                <w:szCs w:val="28"/>
              </w:rPr>
              <w:fldChar w:fldCharType="end"/>
            </w:r>
          </w:hyperlink>
        </w:p>
        <w:p w14:paraId="600C65CD" w14:textId="43454850" w:rsidR="00C40C61" w:rsidRPr="00573D80" w:rsidRDefault="00D32912">
          <w:pPr>
            <w:pStyle w:val="TOC2"/>
            <w:rPr>
              <w:rFonts w:asciiTheme="minorHAnsi" w:eastAsiaTheme="minorEastAsia" w:hAnsiTheme="minorHAnsi"/>
              <w:color w:val="auto"/>
              <w:sz w:val="28"/>
              <w:szCs w:val="28"/>
              <w:lang w:eastAsia="en-GB"/>
            </w:rPr>
          </w:pPr>
          <w:hyperlink w:anchor="_Toc485896977" w:history="1">
            <w:r w:rsidR="00C40C61" w:rsidRPr="00573D80">
              <w:rPr>
                <w:rStyle w:val="Hyperlink"/>
                <w:color w:val="auto"/>
                <w:sz w:val="28"/>
                <w:szCs w:val="28"/>
                <w:lang w:eastAsia="en-GB"/>
              </w:rPr>
              <w:t>The financial value of vision rehabilitation outcomes</w:t>
            </w:r>
            <w:r w:rsidR="00C40C61" w:rsidRPr="00573D80">
              <w:rPr>
                <w:webHidden/>
                <w:color w:val="auto"/>
                <w:sz w:val="28"/>
                <w:szCs w:val="28"/>
              </w:rPr>
              <w:tab/>
            </w:r>
            <w:r w:rsidR="00C40C61" w:rsidRPr="00573D80">
              <w:rPr>
                <w:webHidden/>
                <w:color w:val="auto"/>
                <w:sz w:val="28"/>
                <w:szCs w:val="28"/>
              </w:rPr>
              <w:fldChar w:fldCharType="begin"/>
            </w:r>
            <w:r w:rsidR="00C40C61" w:rsidRPr="00573D80">
              <w:rPr>
                <w:webHidden/>
                <w:color w:val="auto"/>
                <w:sz w:val="28"/>
                <w:szCs w:val="28"/>
              </w:rPr>
              <w:instrText xml:space="preserve"> PAGEREF _Toc485896977 \h </w:instrText>
            </w:r>
            <w:r w:rsidR="00C40C61" w:rsidRPr="00573D80">
              <w:rPr>
                <w:webHidden/>
                <w:color w:val="auto"/>
                <w:sz w:val="28"/>
                <w:szCs w:val="28"/>
              </w:rPr>
            </w:r>
            <w:r w:rsidR="00C40C61" w:rsidRPr="00573D80">
              <w:rPr>
                <w:webHidden/>
                <w:color w:val="auto"/>
                <w:sz w:val="28"/>
                <w:szCs w:val="28"/>
              </w:rPr>
              <w:fldChar w:fldCharType="separate"/>
            </w:r>
            <w:r w:rsidR="00497EB1">
              <w:rPr>
                <w:webHidden/>
                <w:color w:val="auto"/>
                <w:sz w:val="28"/>
                <w:szCs w:val="28"/>
              </w:rPr>
              <w:t>58</w:t>
            </w:r>
            <w:r w:rsidR="00C40C61" w:rsidRPr="00573D80">
              <w:rPr>
                <w:webHidden/>
                <w:color w:val="auto"/>
                <w:sz w:val="28"/>
                <w:szCs w:val="28"/>
              </w:rPr>
              <w:fldChar w:fldCharType="end"/>
            </w:r>
          </w:hyperlink>
        </w:p>
        <w:p w14:paraId="56AA51D9" w14:textId="61AB5CFB" w:rsidR="00C40C61" w:rsidRPr="00573D80" w:rsidRDefault="00D32912">
          <w:pPr>
            <w:pStyle w:val="TOC2"/>
            <w:rPr>
              <w:rFonts w:asciiTheme="minorHAnsi" w:eastAsiaTheme="minorEastAsia" w:hAnsiTheme="minorHAnsi"/>
              <w:color w:val="auto"/>
              <w:sz w:val="28"/>
              <w:szCs w:val="28"/>
              <w:lang w:eastAsia="en-GB"/>
            </w:rPr>
          </w:pPr>
          <w:hyperlink w:anchor="_Toc485896978" w:history="1">
            <w:r w:rsidR="00C40C61" w:rsidRPr="00573D80">
              <w:rPr>
                <w:rStyle w:val="Hyperlink"/>
                <w:color w:val="auto"/>
                <w:sz w:val="28"/>
                <w:szCs w:val="28"/>
              </w:rPr>
              <w:t>Recommendations for further research</w:t>
            </w:r>
            <w:r w:rsidR="00C40C61" w:rsidRPr="00573D80">
              <w:rPr>
                <w:webHidden/>
                <w:color w:val="auto"/>
                <w:sz w:val="28"/>
                <w:szCs w:val="28"/>
              </w:rPr>
              <w:tab/>
            </w:r>
            <w:r w:rsidR="00C40C61" w:rsidRPr="00573D80">
              <w:rPr>
                <w:webHidden/>
                <w:color w:val="auto"/>
                <w:sz w:val="28"/>
                <w:szCs w:val="28"/>
              </w:rPr>
              <w:fldChar w:fldCharType="begin"/>
            </w:r>
            <w:r w:rsidR="00C40C61" w:rsidRPr="00573D80">
              <w:rPr>
                <w:webHidden/>
                <w:color w:val="auto"/>
                <w:sz w:val="28"/>
                <w:szCs w:val="28"/>
              </w:rPr>
              <w:instrText xml:space="preserve"> PAGEREF _Toc485896978 \h </w:instrText>
            </w:r>
            <w:r w:rsidR="00C40C61" w:rsidRPr="00573D80">
              <w:rPr>
                <w:webHidden/>
                <w:color w:val="auto"/>
                <w:sz w:val="28"/>
                <w:szCs w:val="28"/>
              </w:rPr>
            </w:r>
            <w:r w:rsidR="00C40C61" w:rsidRPr="00573D80">
              <w:rPr>
                <w:webHidden/>
                <w:color w:val="auto"/>
                <w:sz w:val="28"/>
                <w:szCs w:val="28"/>
              </w:rPr>
              <w:fldChar w:fldCharType="separate"/>
            </w:r>
            <w:r w:rsidR="00497EB1">
              <w:rPr>
                <w:webHidden/>
                <w:color w:val="auto"/>
                <w:sz w:val="28"/>
                <w:szCs w:val="28"/>
              </w:rPr>
              <w:t>59</w:t>
            </w:r>
            <w:r w:rsidR="00C40C61" w:rsidRPr="00573D80">
              <w:rPr>
                <w:webHidden/>
                <w:color w:val="auto"/>
                <w:sz w:val="28"/>
                <w:szCs w:val="28"/>
              </w:rPr>
              <w:fldChar w:fldCharType="end"/>
            </w:r>
          </w:hyperlink>
        </w:p>
        <w:p w14:paraId="5F12CCA5" w14:textId="3506C636" w:rsidR="00C40C61" w:rsidRPr="00573D80" w:rsidRDefault="00D32912">
          <w:pPr>
            <w:pStyle w:val="TOC1"/>
            <w:rPr>
              <w:rFonts w:asciiTheme="minorHAnsi" w:eastAsiaTheme="minorEastAsia" w:hAnsiTheme="minorHAnsi"/>
              <w:b w:val="0"/>
              <w:color w:val="auto"/>
              <w:sz w:val="28"/>
              <w:szCs w:val="28"/>
              <w:lang w:eastAsia="en-GB"/>
            </w:rPr>
          </w:pPr>
          <w:hyperlink w:anchor="_Toc485896979" w:history="1">
            <w:r w:rsidR="00C40C61" w:rsidRPr="00573D80">
              <w:rPr>
                <w:rStyle w:val="Hyperlink"/>
                <w:color w:val="auto"/>
                <w:sz w:val="28"/>
                <w:szCs w:val="28"/>
              </w:rPr>
              <w:t>Appendix</w:t>
            </w:r>
            <w:r w:rsidR="00C40C61" w:rsidRPr="00573D80">
              <w:rPr>
                <w:webHidden/>
                <w:color w:val="auto"/>
                <w:sz w:val="28"/>
                <w:szCs w:val="28"/>
              </w:rPr>
              <w:tab/>
            </w:r>
            <w:r w:rsidR="00C40C61" w:rsidRPr="00573D80">
              <w:rPr>
                <w:webHidden/>
                <w:color w:val="auto"/>
                <w:sz w:val="28"/>
                <w:szCs w:val="28"/>
              </w:rPr>
              <w:fldChar w:fldCharType="begin"/>
            </w:r>
            <w:r w:rsidR="00C40C61" w:rsidRPr="00573D80">
              <w:rPr>
                <w:webHidden/>
                <w:color w:val="auto"/>
                <w:sz w:val="28"/>
                <w:szCs w:val="28"/>
              </w:rPr>
              <w:instrText xml:space="preserve"> PAGEREF _Toc485896979 \h </w:instrText>
            </w:r>
            <w:r w:rsidR="00C40C61" w:rsidRPr="00573D80">
              <w:rPr>
                <w:webHidden/>
                <w:color w:val="auto"/>
                <w:sz w:val="28"/>
                <w:szCs w:val="28"/>
              </w:rPr>
            </w:r>
            <w:r w:rsidR="00C40C61" w:rsidRPr="00573D80">
              <w:rPr>
                <w:webHidden/>
                <w:color w:val="auto"/>
                <w:sz w:val="28"/>
                <w:szCs w:val="28"/>
              </w:rPr>
              <w:fldChar w:fldCharType="separate"/>
            </w:r>
            <w:r w:rsidR="00497EB1">
              <w:rPr>
                <w:webHidden/>
                <w:color w:val="auto"/>
                <w:sz w:val="28"/>
                <w:szCs w:val="28"/>
              </w:rPr>
              <w:t>60</w:t>
            </w:r>
            <w:r w:rsidR="00C40C61" w:rsidRPr="00573D80">
              <w:rPr>
                <w:webHidden/>
                <w:color w:val="auto"/>
                <w:sz w:val="28"/>
                <w:szCs w:val="28"/>
              </w:rPr>
              <w:fldChar w:fldCharType="end"/>
            </w:r>
          </w:hyperlink>
        </w:p>
        <w:p w14:paraId="6F41B579" w14:textId="6706FDD1" w:rsidR="00C40C61" w:rsidRPr="00573D80" w:rsidRDefault="00D32912">
          <w:pPr>
            <w:pStyle w:val="TOC2"/>
            <w:rPr>
              <w:rFonts w:asciiTheme="minorHAnsi" w:eastAsiaTheme="minorEastAsia" w:hAnsiTheme="minorHAnsi"/>
              <w:color w:val="auto"/>
              <w:sz w:val="28"/>
              <w:szCs w:val="28"/>
              <w:lang w:eastAsia="en-GB"/>
            </w:rPr>
          </w:pPr>
          <w:hyperlink w:anchor="_Toc485896980" w:history="1">
            <w:r w:rsidR="00C40C61" w:rsidRPr="00573D80">
              <w:rPr>
                <w:rStyle w:val="Hyperlink"/>
                <w:color w:val="auto"/>
                <w:sz w:val="28"/>
                <w:szCs w:val="28"/>
              </w:rPr>
              <w:t>A1. Tables showing costs avoided as a result of vision rehabilitation</w:t>
            </w:r>
            <w:r w:rsidR="00C40C61" w:rsidRPr="00573D80">
              <w:rPr>
                <w:webHidden/>
                <w:color w:val="auto"/>
                <w:sz w:val="28"/>
                <w:szCs w:val="28"/>
              </w:rPr>
              <w:tab/>
            </w:r>
            <w:r w:rsidR="00C40C61" w:rsidRPr="00573D80">
              <w:rPr>
                <w:webHidden/>
                <w:color w:val="auto"/>
                <w:sz w:val="28"/>
                <w:szCs w:val="28"/>
              </w:rPr>
              <w:fldChar w:fldCharType="begin"/>
            </w:r>
            <w:r w:rsidR="00C40C61" w:rsidRPr="00573D80">
              <w:rPr>
                <w:webHidden/>
                <w:color w:val="auto"/>
                <w:sz w:val="28"/>
                <w:szCs w:val="28"/>
              </w:rPr>
              <w:instrText xml:space="preserve"> PAGEREF _Toc485896980 \h </w:instrText>
            </w:r>
            <w:r w:rsidR="00C40C61" w:rsidRPr="00573D80">
              <w:rPr>
                <w:webHidden/>
                <w:color w:val="auto"/>
                <w:sz w:val="28"/>
                <w:szCs w:val="28"/>
              </w:rPr>
            </w:r>
            <w:r w:rsidR="00C40C61" w:rsidRPr="00573D80">
              <w:rPr>
                <w:webHidden/>
                <w:color w:val="auto"/>
                <w:sz w:val="28"/>
                <w:szCs w:val="28"/>
              </w:rPr>
              <w:fldChar w:fldCharType="separate"/>
            </w:r>
            <w:r w:rsidR="00497EB1">
              <w:rPr>
                <w:webHidden/>
                <w:color w:val="auto"/>
                <w:sz w:val="28"/>
                <w:szCs w:val="28"/>
              </w:rPr>
              <w:t>60</w:t>
            </w:r>
            <w:r w:rsidR="00C40C61" w:rsidRPr="00573D80">
              <w:rPr>
                <w:webHidden/>
                <w:color w:val="auto"/>
                <w:sz w:val="28"/>
                <w:szCs w:val="28"/>
              </w:rPr>
              <w:fldChar w:fldCharType="end"/>
            </w:r>
          </w:hyperlink>
        </w:p>
        <w:p w14:paraId="46DBD380" w14:textId="6A1A831C" w:rsidR="00C40C61" w:rsidRPr="00061435" w:rsidRDefault="00D32912">
          <w:pPr>
            <w:pStyle w:val="TOC2"/>
            <w:rPr>
              <w:rFonts w:asciiTheme="minorHAnsi" w:eastAsiaTheme="minorEastAsia" w:hAnsiTheme="minorHAnsi"/>
              <w:color w:val="auto"/>
              <w:sz w:val="28"/>
              <w:szCs w:val="28"/>
              <w:lang w:eastAsia="en-GB"/>
            </w:rPr>
          </w:pPr>
          <w:hyperlink w:anchor="_Toc485896981" w:history="1">
            <w:r w:rsidR="00C40C61" w:rsidRPr="00573D80">
              <w:rPr>
                <w:rStyle w:val="Hyperlink"/>
                <w:color w:val="auto"/>
                <w:sz w:val="28"/>
                <w:szCs w:val="28"/>
              </w:rPr>
              <w:t>A2. Reference List</w:t>
            </w:r>
            <w:r w:rsidR="00C40C61" w:rsidRPr="00573D80">
              <w:rPr>
                <w:webHidden/>
                <w:color w:val="auto"/>
                <w:sz w:val="28"/>
                <w:szCs w:val="28"/>
              </w:rPr>
              <w:tab/>
            </w:r>
            <w:r w:rsidR="00C40C61" w:rsidRPr="00573D80">
              <w:rPr>
                <w:webHidden/>
                <w:color w:val="auto"/>
                <w:sz w:val="28"/>
                <w:szCs w:val="28"/>
              </w:rPr>
              <w:fldChar w:fldCharType="begin"/>
            </w:r>
            <w:r w:rsidR="00C40C61" w:rsidRPr="00573D80">
              <w:rPr>
                <w:webHidden/>
                <w:color w:val="auto"/>
                <w:sz w:val="28"/>
                <w:szCs w:val="28"/>
              </w:rPr>
              <w:instrText xml:space="preserve"> PAGEREF _Toc485896981 \h </w:instrText>
            </w:r>
            <w:r w:rsidR="00C40C61" w:rsidRPr="00573D80">
              <w:rPr>
                <w:webHidden/>
                <w:color w:val="auto"/>
                <w:sz w:val="28"/>
                <w:szCs w:val="28"/>
              </w:rPr>
            </w:r>
            <w:r w:rsidR="00C40C61" w:rsidRPr="00573D80">
              <w:rPr>
                <w:webHidden/>
                <w:color w:val="auto"/>
                <w:sz w:val="28"/>
                <w:szCs w:val="28"/>
              </w:rPr>
              <w:fldChar w:fldCharType="separate"/>
            </w:r>
            <w:r w:rsidR="00497EB1">
              <w:rPr>
                <w:webHidden/>
                <w:color w:val="auto"/>
                <w:sz w:val="28"/>
                <w:szCs w:val="28"/>
              </w:rPr>
              <w:t>86</w:t>
            </w:r>
            <w:r w:rsidR="00C40C61" w:rsidRPr="00573D80">
              <w:rPr>
                <w:webHidden/>
                <w:color w:val="auto"/>
                <w:sz w:val="28"/>
                <w:szCs w:val="28"/>
              </w:rPr>
              <w:fldChar w:fldCharType="end"/>
            </w:r>
          </w:hyperlink>
        </w:p>
        <w:p w14:paraId="556A5914" w14:textId="77777777" w:rsidR="00573D80" w:rsidRDefault="000957B0" w:rsidP="00573D80">
          <w:r w:rsidRPr="00061435">
            <w:rPr>
              <w:rFonts w:ascii="Arial" w:hAnsi="Arial"/>
              <w:b/>
              <w:noProof/>
              <w:color w:val="414042" w:themeColor="text2"/>
              <w:szCs w:val="28"/>
            </w:rPr>
            <w:fldChar w:fldCharType="end"/>
          </w:r>
        </w:p>
      </w:sdtContent>
    </w:sdt>
    <w:bookmarkStart w:id="2" w:name="EndCoverSheets" w:displacedByCustomXml="prev"/>
    <w:bookmarkEnd w:id="2" w:displacedByCustomXml="prev"/>
    <w:bookmarkStart w:id="3" w:name="_Toc485896954" w:displacedByCustomXml="prev"/>
    <w:p w14:paraId="694127E5" w14:textId="7B21A957" w:rsidR="006217BC" w:rsidRDefault="00550CE7" w:rsidP="00573D80">
      <w:pPr>
        <w:pStyle w:val="Heading1"/>
      </w:pPr>
      <w:r>
        <w:t>Acknowledgements</w:t>
      </w:r>
      <w:bookmarkEnd w:id="3"/>
    </w:p>
    <w:p w14:paraId="17F95ED4" w14:textId="62AE1F11" w:rsidR="002B5543" w:rsidRDefault="00550CE7" w:rsidP="00550CE7">
      <w:r>
        <w:t>We would like to thank colleagues at RNIB</w:t>
      </w:r>
      <w:r w:rsidR="00573D80">
        <w:t xml:space="preserve"> [</w:t>
      </w:r>
      <w:r w:rsidR="002B5543">
        <w:rPr>
          <w:rStyle w:val="EndnoteReference"/>
        </w:rPr>
        <w:endnoteReference w:id="2"/>
      </w:r>
      <w:r w:rsidR="002B5543">
        <w:t xml:space="preserve">] who have collaborated whole-heartedly and joined us on this journey of learning. We would especially like to thank </w:t>
      </w:r>
      <w:r w:rsidR="002B5543" w:rsidRPr="00663B2C">
        <w:t>Philippa Simkiss, Simmone Miller, Josh Feehan, Catherine Dennison, Mike Bell and Puja Joshi</w:t>
      </w:r>
      <w:r w:rsidR="002B5543">
        <w:t xml:space="preserve"> for their input, interest and close involvement throughout the study</w:t>
      </w:r>
      <w:r w:rsidR="002B5543" w:rsidRPr="00663B2C">
        <w:t>.</w:t>
      </w:r>
    </w:p>
    <w:p w14:paraId="522E51B8" w14:textId="77777777" w:rsidR="002B5543" w:rsidRDefault="002B5543" w:rsidP="00550CE7"/>
    <w:p w14:paraId="78D020C4" w14:textId="23456554" w:rsidR="002B5543" w:rsidRDefault="002B5543" w:rsidP="00035F40">
      <w:r>
        <w:t>We are grateful for the support, responsiveness and enthusiasm of staff and service users from Sight for Surrey [</w:t>
      </w:r>
      <w:r>
        <w:rPr>
          <w:rStyle w:val="EndnoteReference"/>
        </w:rPr>
        <w:endnoteReference w:id="3"/>
      </w:r>
      <w:r>
        <w:t xml:space="preserve">], who spent time with us to build up a clear picture of their services and outcomes for our case study. We’d especially like to thank our key contact at Sight for Surrey, Sue Fritsch, for her support of our methodology and for making the data collection and verification run smoothly.  </w:t>
      </w:r>
    </w:p>
    <w:p w14:paraId="307A064D" w14:textId="131342FC" w:rsidR="002B5543" w:rsidRDefault="002B5543" w:rsidP="00492BB8">
      <w:pPr>
        <w:pStyle w:val="Heading1"/>
      </w:pPr>
      <w:bookmarkStart w:id="4" w:name="_Toc485896955"/>
      <w:r>
        <w:t>Glossary of terms used in this report</w:t>
      </w:r>
      <w:bookmarkEnd w:id="4"/>
      <w:r>
        <w:t xml:space="preserve"> </w:t>
      </w:r>
    </w:p>
    <w:p w14:paraId="20B8C5C1" w14:textId="4BF3BEA1" w:rsidR="002B5543" w:rsidRPr="00744C84" w:rsidRDefault="002B5543" w:rsidP="005102D2">
      <w:pPr>
        <w:rPr>
          <w:b/>
        </w:rPr>
      </w:pPr>
      <w:r w:rsidRPr="00744C84">
        <w:rPr>
          <w:b/>
        </w:rPr>
        <w:t xml:space="preserve">Vision rehabilitation: </w:t>
      </w:r>
      <w:bookmarkStart w:id="5" w:name="_Hlk481762783"/>
      <w:r w:rsidRPr="00744C84">
        <w:t>Vision rehabilitation is a</w:t>
      </w:r>
      <w:r>
        <w:t xml:space="preserve"> social care</w:t>
      </w:r>
      <w:r w:rsidRPr="00744C84">
        <w:t xml:space="preserve"> service offered by local authorities in </w:t>
      </w:r>
      <w:r>
        <w:t>England</w:t>
      </w:r>
      <w:r w:rsidRPr="00744C84">
        <w:t xml:space="preserve"> to</w:t>
      </w:r>
      <w:r>
        <w:t xml:space="preserve"> blind and partially sighted people to assist them to remain independent.</w:t>
      </w:r>
      <w:bookmarkEnd w:id="5"/>
      <w:r>
        <w:t xml:space="preserve"> Vision rehabilitation is carried out by trained rehabilitation workers who work directly with individuals to assess their needs and, subsequently, develop and deliver a bespoke programme of training in skills and coping strategies; the rehabilitation is usually carried out in the blind or partially sighted person’s own home. </w:t>
      </w:r>
    </w:p>
    <w:p w14:paraId="439D50CA" w14:textId="77777777" w:rsidR="002B5543" w:rsidRDefault="002B5543" w:rsidP="005102D2">
      <w:pPr>
        <w:rPr>
          <w:b/>
        </w:rPr>
      </w:pPr>
    </w:p>
    <w:p w14:paraId="5E027E13" w14:textId="5E036743" w:rsidR="002B5543" w:rsidRPr="00744C84" w:rsidRDefault="002B5543" w:rsidP="005102D2">
      <w:r>
        <w:rPr>
          <w:b/>
        </w:rPr>
        <w:t>Rehabilitation w</w:t>
      </w:r>
      <w:r w:rsidRPr="00744C84">
        <w:rPr>
          <w:b/>
        </w:rPr>
        <w:t xml:space="preserve">orker: </w:t>
      </w:r>
      <w:r>
        <w:t>Rehabilitation workers who work in vision rehabilitation are</w:t>
      </w:r>
      <w:r w:rsidRPr="00744C84">
        <w:t xml:space="preserve"> specialist</w:t>
      </w:r>
      <w:r>
        <w:t>s</w:t>
      </w:r>
      <w:r w:rsidRPr="00744C84">
        <w:t xml:space="preserve"> in enabling people who are blind or partially sighted to be as independent as possible in their day to day lives</w:t>
      </w:r>
      <w:r>
        <w:t xml:space="preserve">. They </w:t>
      </w:r>
      <w:r w:rsidRPr="00744C84">
        <w:t xml:space="preserve">are trained to respond to a person's unique and complex </w:t>
      </w:r>
      <w:r>
        <w:t>situation and to find</w:t>
      </w:r>
      <w:r w:rsidRPr="00744C84">
        <w:t xml:space="preserve"> solutions that will work </w:t>
      </w:r>
      <w:r>
        <w:t xml:space="preserve">well </w:t>
      </w:r>
      <w:r w:rsidRPr="00744C84">
        <w:t>for them.</w:t>
      </w:r>
      <w:r>
        <w:t xml:space="preserve"> The role usually requires a foundation degree in Rehabilitation Work (Visual Impairment) which may also be referred to as a Diploma of Higher Education in Rehabilitation Studies.</w:t>
      </w:r>
    </w:p>
    <w:p w14:paraId="4832FF27" w14:textId="77777777" w:rsidR="002B5543" w:rsidRDefault="002B5543" w:rsidP="00035F40">
      <w:pPr>
        <w:rPr>
          <w:b/>
        </w:rPr>
      </w:pPr>
    </w:p>
    <w:p w14:paraId="4347210A" w14:textId="0BC60ED0" w:rsidR="002B5543" w:rsidRDefault="002B5543" w:rsidP="00035F40">
      <w:pPr>
        <w:rPr>
          <w:b/>
        </w:rPr>
      </w:pPr>
      <w:r>
        <w:rPr>
          <w:b/>
        </w:rPr>
        <w:t xml:space="preserve">Initial assessment: </w:t>
      </w:r>
      <w:r>
        <w:t xml:space="preserve">Vision rehabilitation services receive client referrals through a number of pathways. Once a client has been referred into the service, rehabilitation workers generally conduct an initial assessment of a client’s individual circumstances and needs to ensure that vision rehabilitation is right for them; book in a time to visit the client for a more extensive assessment of their circumstances and needs; and signpost or refer them to other relevant services as soon as possible. </w:t>
      </w:r>
    </w:p>
    <w:p w14:paraId="43567825" w14:textId="77777777" w:rsidR="002B5543" w:rsidRDefault="002B5543" w:rsidP="005102D2">
      <w:pPr>
        <w:rPr>
          <w:b/>
        </w:rPr>
      </w:pPr>
    </w:p>
    <w:p w14:paraId="455A20CD" w14:textId="02F9C711" w:rsidR="002B5543" w:rsidRDefault="002B5543" w:rsidP="005102D2">
      <w:r w:rsidRPr="00492BB8">
        <w:rPr>
          <w:b/>
        </w:rPr>
        <w:t xml:space="preserve">Specialist </w:t>
      </w:r>
      <w:r>
        <w:rPr>
          <w:b/>
        </w:rPr>
        <w:t>a</w:t>
      </w:r>
      <w:r w:rsidRPr="00492BB8">
        <w:rPr>
          <w:b/>
        </w:rPr>
        <w:t>ssessment</w:t>
      </w:r>
      <w:r w:rsidRPr="00492BB8">
        <w:t xml:space="preserve">: </w:t>
      </w:r>
      <w:r>
        <w:t xml:space="preserve">In general, vision rehabilitation services will also conduct a more extensive assessment of a client’s needs after the initial assessment; this is usually conducted face-to-face. Different vision rehabilitation services however conduct initial and more extensive assessments in different ways dependent on their operating model and context and some use the more extensive assessment as an opportunity to begin providing immediate advice and support to the client rather than using the time purely to assess needs to be addressed at a later stage.  </w:t>
      </w:r>
    </w:p>
    <w:p w14:paraId="7A710223" w14:textId="77777777" w:rsidR="002B5543" w:rsidRDefault="002B5543" w:rsidP="005102D2"/>
    <w:p w14:paraId="2C03581D" w14:textId="513F0A0A" w:rsidR="002B5543" w:rsidRDefault="002B5543" w:rsidP="005102D2">
      <w:r>
        <w:t>For the purposes of this study, the term ‘specialist assessment’ refers to the more extensive assessment that a rehabilitation worker conducts with a client face-to-face after the initial assessment. In this usage of the term, the purpose of a specialist assessment is to understand the client’s individual learning and support needs in detail; begin to introduce and discuss solutions that will be part of</w:t>
      </w:r>
      <w:r w:rsidRPr="00492BB8">
        <w:t xml:space="preserve"> the</w:t>
      </w:r>
      <w:r>
        <w:t xml:space="preserve"> client’s </w:t>
      </w:r>
      <w:r w:rsidRPr="00492BB8">
        <w:t>rehabilitation plan</w:t>
      </w:r>
      <w:r>
        <w:t>;</w:t>
      </w:r>
      <w:r w:rsidRPr="00492BB8">
        <w:t xml:space="preserve"> and, where applicable, provide</w:t>
      </w:r>
      <w:r>
        <w:t xml:space="preserve"> immediate advice or</w:t>
      </w:r>
      <w:r w:rsidRPr="00492BB8">
        <w:t xml:space="preserve"> equipment to assist with daily living tasks.</w:t>
      </w:r>
      <w:r>
        <w:t xml:space="preserve"> This understanding of a specialist assessment comes from our work with the Sight for Surrey vision rehabilitation service, which was chosen as the case study site.  </w:t>
      </w:r>
    </w:p>
    <w:p w14:paraId="3D6B4604" w14:textId="77777777" w:rsidR="002B5543" w:rsidRDefault="002B5543" w:rsidP="005102D2">
      <w:pPr>
        <w:rPr>
          <w:b/>
        </w:rPr>
      </w:pPr>
    </w:p>
    <w:p w14:paraId="31BBEEAB" w14:textId="08444081" w:rsidR="002B5543" w:rsidRPr="008D2715" w:rsidRDefault="002B5543" w:rsidP="005102D2">
      <w:r w:rsidRPr="00492BB8">
        <w:rPr>
          <w:b/>
        </w:rPr>
        <w:t>Rehabilitation plan</w:t>
      </w:r>
      <w:r w:rsidRPr="00492BB8">
        <w:t xml:space="preserve">: At every stage of the vision rehabilitation journey, the client should know what </w:t>
      </w:r>
      <w:r>
        <w:t>will happen</w:t>
      </w:r>
      <w:r w:rsidRPr="00492BB8">
        <w:t>, what is happening next,</w:t>
      </w:r>
      <w:r>
        <w:t xml:space="preserve"> when</w:t>
      </w:r>
      <w:r w:rsidRPr="00492BB8">
        <w:t xml:space="preserve"> and why. The rehabilitation worker will discuss this </w:t>
      </w:r>
      <w:r>
        <w:t xml:space="preserve">plan for their rehabilitation </w:t>
      </w:r>
      <w:r w:rsidRPr="00492BB8">
        <w:t>with the client at each stage</w:t>
      </w:r>
      <w:r>
        <w:t>. The rehabilitation plan may be written or verbal</w:t>
      </w:r>
      <w:r w:rsidRPr="00492BB8">
        <w:t>.</w:t>
      </w:r>
    </w:p>
    <w:p w14:paraId="432233AF" w14:textId="77777777" w:rsidR="002B5543" w:rsidRDefault="002B5543" w:rsidP="00F42B46">
      <w:pPr>
        <w:rPr>
          <w:b/>
        </w:rPr>
      </w:pPr>
    </w:p>
    <w:p w14:paraId="44EB09D6" w14:textId="304C3DEA" w:rsidR="002B5543" w:rsidRDefault="002B5543" w:rsidP="00F42B46">
      <w:r w:rsidRPr="00F44A84">
        <w:rPr>
          <w:b/>
        </w:rPr>
        <w:t>In-depth rehabilitation:</w:t>
      </w:r>
      <w:r w:rsidRPr="00492BB8">
        <w:t xml:space="preserve"> For the purposes of this study the term ‘in-depth rehabilitation’ is used to refer to a programme of rehabilitation offered to the client after their specialist assessment has been completed. In-depth rehabilitation may include mobility, daily living skills, or communication training among other things, and could involve one or multiple visits over a period of time</w:t>
      </w:r>
      <w:r>
        <w:t xml:space="preserve"> dependent on the individual client’s needs</w:t>
      </w:r>
      <w:r w:rsidRPr="00492BB8">
        <w:t xml:space="preserve">.  </w:t>
      </w:r>
    </w:p>
    <w:p w14:paraId="77F010C6" w14:textId="77777777" w:rsidR="008435D3" w:rsidRDefault="008435D3" w:rsidP="00F42B46"/>
    <w:p w14:paraId="6004C77D" w14:textId="268E5666" w:rsidR="002B5543" w:rsidRDefault="002B5543" w:rsidP="00F42B46">
      <w:r w:rsidRPr="003C39EB">
        <w:rPr>
          <w:b/>
        </w:rPr>
        <w:t>Outcome</w:t>
      </w:r>
      <w:r>
        <w:t>: Outcomes are</w:t>
      </w:r>
      <w:r w:rsidRPr="003C39EB">
        <w:t xml:space="preserve"> the changes, benefits, learning or other effects that happen as a result of a project or organisation’s work.</w:t>
      </w:r>
      <w:r>
        <w:t xml:space="preserve"> [</w:t>
      </w:r>
      <w:r>
        <w:rPr>
          <w:rStyle w:val="EndnoteReference"/>
        </w:rPr>
        <w:endnoteReference w:id="4"/>
      </w:r>
      <w:r w:rsidR="008435D3">
        <w:t>]</w:t>
      </w:r>
    </w:p>
    <w:p w14:paraId="3D9560E5" w14:textId="77777777" w:rsidR="008435D3" w:rsidRPr="008435D3" w:rsidRDefault="008435D3" w:rsidP="00F42B46"/>
    <w:p w14:paraId="40813354" w14:textId="2E52FF3E" w:rsidR="002B5543" w:rsidRDefault="002B5543" w:rsidP="00F42B46">
      <w:r w:rsidRPr="00744C84">
        <w:rPr>
          <w:b/>
        </w:rPr>
        <w:t>Impact:</w:t>
      </w:r>
      <w:r>
        <w:t xml:space="preserve"> Impacts are the broader or longer-term effects of a project or organisation’s work. </w:t>
      </w:r>
      <w:r w:rsidRPr="00A2532B">
        <w:t>This can include effects on people who</w:t>
      </w:r>
      <w:r>
        <w:t xml:space="preserve"> are direct users</w:t>
      </w:r>
      <w:r w:rsidRPr="00A2532B">
        <w:t>, effects on those who are not direct users, or effects on a wider field such as government policy</w:t>
      </w:r>
      <w:r>
        <w:t xml:space="preserve"> or budgets. [</w:t>
      </w:r>
      <w:r>
        <w:rPr>
          <w:rStyle w:val="EndnoteReference"/>
        </w:rPr>
        <w:endnoteReference w:id="5"/>
      </w:r>
      <w:r w:rsidR="00497EB1">
        <w:t>]</w:t>
      </w:r>
    </w:p>
    <w:p w14:paraId="310946F4" w14:textId="57FD1BBC" w:rsidR="002B5543" w:rsidRDefault="002B5543" w:rsidP="00F42B46">
      <w:r>
        <w:br w:type="page"/>
      </w:r>
    </w:p>
    <w:p w14:paraId="02FA0091" w14:textId="3B3D1834" w:rsidR="002B5543" w:rsidRDefault="002B5543" w:rsidP="00047D21">
      <w:pPr>
        <w:pStyle w:val="Heading1"/>
        <w:tabs>
          <w:tab w:val="left" w:pos="3686"/>
        </w:tabs>
      </w:pPr>
      <w:bookmarkStart w:id="6" w:name="_Toc471990310"/>
      <w:bookmarkStart w:id="7" w:name="_Toc472003330"/>
      <w:bookmarkStart w:id="8" w:name="_Toc472010199"/>
      <w:bookmarkStart w:id="9" w:name="_Toc472019278"/>
      <w:bookmarkStart w:id="10" w:name="_Toc485896956"/>
      <w:bookmarkEnd w:id="6"/>
      <w:bookmarkEnd w:id="7"/>
      <w:bookmarkEnd w:id="8"/>
      <w:bookmarkEnd w:id="9"/>
      <w:r>
        <w:t>Executive Summary</w:t>
      </w:r>
      <w:bookmarkEnd w:id="10"/>
      <w:r>
        <w:t xml:space="preserve"> </w:t>
      </w:r>
    </w:p>
    <w:p w14:paraId="0DD4C80E" w14:textId="1662CF1A" w:rsidR="002B5543" w:rsidRDefault="002B5543" w:rsidP="00847E8D">
      <w:pPr>
        <w:pStyle w:val="Heading2"/>
      </w:pPr>
      <w:bookmarkStart w:id="11" w:name="_Toc485896957"/>
      <w:r>
        <w:t>Introduction</w:t>
      </w:r>
      <w:bookmarkEnd w:id="11"/>
    </w:p>
    <w:p w14:paraId="28B423F2" w14:textId="1FD404CD" w:rsidR="002B5543" w:rsidRDefault="002B5543" w:rsidP="008E421F">
      <w:r>
        <w:t>This is the executive summary of the Office for Public Management (OPM) study to assess the impact and value of vision rehabilitation services in England. RNIB commissioned the research in 2016-17 to begin to address a significant gap in evidence around the effectiveness and financial costs and benefits of vision rehabilitation services which fall under the statutory responsibility of local authorities.</w:t>
      </w:r>
    </w:p>
    <w:p w14:paraId="23C8F694" w14:textId="77777777" w:rsidR="002B5543" w:rsidRDefault="002B5543" w:rsidP="008E421F"/>
    <w:p w14:paraId="2791682D" w14:textId="2CE6DEE9" w:rsidR="002B5543" w:rsidRDefault="002B5543" w:rsidP="008E421F">
      <w:r>
        <w:t xml:space="preserve">Vision rehabilitation services support independent living for people who have experienced sight loss or deterioration, or who have been blind or partially sighted since birth or childhood. These services are currently experiencing significant pressure including reductions in health and social care budgets and the increasing needs of an ageing population. </w:t>
      </w:r>
    </w:p>
    <w:p w14:paraId="3E3A5535" w14:textId="77777777" w:rsidR="002B5543" w:rsidRDefault="002B5543" w:rsidP="00091A24"/>
    <w:p w14:paraId="6F1F8576" w14:textId="0108809A" w:rsidR="002B5543" w:rsidRDefault="002B5543" w:rsidP="00091A24">
      <w:r>
        <w:t>Our study is an economic assessment performed using a methodology informed by HM Treasury guidelines for economic assessment and evaluation. We took a cost-avoidance analysis approach using primary evidence from a case study vision rehabilitation service in England – run by Sight for Surrey, a charitable organisation</w:t>
      </w:r>
      <w:r w:rsidRPr="00EA5471">
        <w:t xml:space="preserve"> </w:t>
      </w:r>
      <w:r>
        <w:t xml:space="preserve">that delivers specialist services to people who have vision impairment, are deaf or hard of hearing, or have combined sight and hearing loss. The approach also drew on secondary literature searches in order to ensure substantial depth and rigour in addressing the gaps in the existing evidence about the impact of vision rehabilitation. </w:t>
      </w:r>
    </w:p>
    <w:p w14:paraId="6EF0523F" w14:textId="77777777" w:rsidR="002B5543" w:rsidRDefault="002B5543" w:rsidP="008E421F"/>
    <w:p w14:paraId="70E3A3D7" w14:textId="6C2BFF5C" w:rsidR="002B5543" w:rsidRDefault="002B5543" w:rsidP="008E421F">
      <w:r>
        <w:t xml:space="preserve">Our investigation systematically focussed on the following four areas: </w:t>
      </w:r>
    </w:p>
    <w:p w14:paraId="1CC9E599" w14:textId="2BCB7DFB" w:rsidR="002B5543" w:rsidRDefault="002B5543" w:rsidP="00361C02">
      <w:pPr>
        <w:pStyle w:val="ListBullet"/>
        <w:numPr>
          <w:ilvl w:val="0"/>
          <w:numId w:val="35"/>
        </w:numPr>
      </w:pPr>
      <w:r>
        <w:t>Mapping the vision rehabilitation process</w:t>
      </w:r>
    </w:p>
    <w:p w14:paraId="38ACC161" w14:textId="17C8A9CD" w:rsidR="002B5543" w:rsidRDefault="002B5543" w:rsidP="00361C02">
      <w:pPr>
        <w:pStyle w:val="ListBullet"/>
        <w:numPr>
          <w:ilvl w:val="0"/>
          <w:numId w:val="35"/>
        </w:numPr>
      </w:pPr>
      <w:r>
        <w:t xml:space="preserve">Calculating the costs of the vision rehabilitation model </w:t>
      </w:r>
    </w:p>
    <w:p w14:paraId="0826CD6E" w14:textId="18611348" w:rsidR="002B5543" w:rsidRDefault="002B5543" w:rsidP="00361C02">
      <w:pPr>
        <w:pStyle w:val="ListBullet"/>
        <w:numPr>
          <w:ilvl w:val="0"/>
          <w:numId w:val="35"/>
        </w:numPr>
      </w:pPr>
      <w:r>
        <w:t>Identifying the outcomes of vision rehabilitation for Sight for Surrey service users, their families and informal carers</w:t>
      </w:r>
    </w:p>
    <w:p w14:paraId="3A32FB75" w14:textId="0C90BE33" w:rsidR="002B5543" w:rsidRDefault="002B5543" w:rsidP="00361C02">
      <w:pPr>
        <w:pStyle w:val="ListBullet"/>
        <w:numPr>
          <w:ilvl w:val="0"/>
          <w:numId w:val="35"/>
        </w:numPr>
      </w:pPr>
      <w:r>
        <w:t>Calculating the costs avoided, reduced or deferred as a result of the vision rehabilitation service, both for the health and social care system and for individual service users (and their families and informal carers)</w:t>
      </w:r>
    </w:p>
    <w:p w14:paraId="767E4883" w14:textId="77777777" w:rsidR="002B5543" w:rsidRDefault="002B5543" w:rsidP="00657754">
      <w:pPr>
        <w:pStyle w:val="Heading2"/>
      </w:pPr>
      <w:bookmarkStart w:id="12" w:name="_Toc485896958"/>
      <w:r>
        <w:t>Key Findings</w:t>
      </w:r>
      <w:bookmarkEnd w:id="12"/>
    </w:p>
    <w:p w14:paraId="2323F426" w14:textId="64DBC03A" w:rsidR="002B5543" w:rsidRDefault="002B5543" w:rsidP="00847E8D">
      <w:r>
        <w:t>Our findings suggest that vision rehabilitation services not only contribute to meeting a set of needs experienced by people with a vision impairment but that the financial value resulting from these services (in the form of costs avoided, reduced or deferred) may significantly outweigh the financial costs of delivering the services for the health and social care sector.</w:t>
      </w:r>
    </w:p>
    <w:p w14:paraId="4F0AE29C" w14:textId="77777777" w:rsidR="002B5543" w:rsidRPr="001D50F9" w:rsidRDefault="002B5543" w:rsidP="00657754">
      <w:pPr>
        <w:pStyle w:val="Heading3"/>
      </w:pPr>
      <w:r>
        <w:t>Mapping the</w:t>
      </w:r>
      <w:r w:rsidRPr="001D50F9">
        <w:t xml:space="preserve"> vision rehabilitation process </w:t>
      </w:r>
    </w:p>
    <w:p w14:paraId="4996F626" w14:textId="30576F97" w:rsidR="002B5543" w:rsidRDefault="002B5543" w:rsidP="001D50F9">
      <w:r>
        <w:t>Whether provided by a team within a local authority or contracted to a community sector service provider, vision rehabilitation services are typically staffed by a mix of management staff, rehabilitation workers and administrators who work together to provide the different elements of vision rehabilitation.</w:t>
      </w:r>
      <w:r w:rsidRPr="002946B1">
        <w:t xml:space="preserve"> </w:t>
      </w:r>
    </w:p>
    <w:p w14:paraId="65E209BF" w14:textId="77777777" w:rsidR="002B5543" w:rsidRDefault="002B5543" w:rsidP="001D50F9"/>
    <w:p w14:paraId="1A0626AE" w14:textId="47215C63" w:rsidR="002B5543" w:rsidRDefault="002B5543" w:rsidP="001D50F9">
      <w:r>
        <w:t xml:space="preserve">Our research identified five stages that are characteristic of vision rehabilitation service models. These are: </w:t>
      </w:r>
    </w:p>
    <w:p w14:paraId="4A1C397E" w14:textId="5E8BD858" w:rsidR="002B5543" w:rsidRDefault="002B5543" w:rsidP="00361C02">
      <w:pPr>
        <w:pStyle w:val="ListParagraph"/>
        <w:numPr>
          <w:ilvl w:val="0"/>
          <w:numId w:val="14"/>
        </w:numPr>
      </w:pPr>
      <w:r w:rsidRPr="00772054">
        <w:rPr>
          <w:b/>
        </w:rPr>
        <w:t>Referral stage:</w:t>
      </w:r>
      <w:r>
        <w:t xml:space="preserve"> The service receives a referral for a new service user from an external agency or provider, the client themselves, or staff within the service itself. </w:t>
      </w:r>
    </w:p>
    <w:p w14:paraId="51EA9953" w14:textId="7149FC1F" w:rsidR="002B5543" w:rsidRDefault="002B5543" w:rsidP="00361C02">
      <w:pPr>
        <w:pStyle w:val="ListParagraph"/>
        <w:numPr>
          <w:ilvl w:val="0"/>
          <w:numId w:val="14"/>
        </w:numPr>
      </w:pPr>
      <w:r w:rsidRPr="00772054">
        <w:rPr>
          <w:b/>
        </w:rPr>
        <w:t xml:space="preserve">Initial </w:t>
      </w:r>
      <w:r>
        <w:rPr>
          <w:b/>
        </w:rPr>
        <w:t>a</w:t>
      </w:r>
      <w:r w:rsidRPr="00772054">
        <w:rPr>
          <w:b/>
        </w:rPr>
        <w:t>ssessment:</w:t>
      </w:r>
      <w:r>
        <w:t xml:space="preserve"> Service staff conduct an initial assessment of the service user to determine their needs. The service user needs to be contacted within two working days of CVI or self-referral. </w:t>
      </w:r>
    </w:p>
    <w:p w14:paraId="4096C444" w14:textId="1C2AE512" w:rsidR="002B5543" w:rsidRDefault="002B5543" w:rsidP="00361C02">
      <w:pPr>
        <w:pStyle w:val="ListParagraph"/>
        <w:numPr>
          <w:ilvl w:val="0"/>
          <w:numId w:val="14"/>
        </w:numPr>
      </w:pPr>
      <w:r w:rsidRPr="0070595B">
        <w:rPr>
          <w:b/>
        </w:rPr>
        <w:t>Specialist assessment:</w:t>
      </w:r>
      <w:r>
        <w:t xml:space="preserve"> A trained rehabilitation worker conducts a face-to-face assessment of the service user’s needs, usually in his or her own home and begins to create and deliver a bespoke rehabilitation plan to assist them with living independently. This may include the provision of equipment to make daily tasks simpler and safer as well as making onward referrals to external services. </w:t>
      </w:r>
    </w:p>
    <w:p w14:paraId="6D29AE0D" w14:textId="651E64F3" w:rsidR="002B5543" w:rsidRDefault="002B5543" w:rsidP="00361C02">
      <w:pPr>
        <w:pStyle w:val="ListParagraph"/>
        <w:numPr>
          <w:ilvl w:val="0"/>
          <w:numId w:val="14"/>
        </w:numPr>
      </w:pPr>
      <w:r>
        <w:rPr>
          <w:b/>
        </w:rPr>
        <w:t>In-d</w:t>
      </w:r>
      <w:r w:rsidRPr="00106DA0">
        <w:rPr>
          <w:b/>
        </w:rPr>
        <w:t xml:space="preserve">epth </w:t>
      </w:r>
      <w:r>
        <w:rPr>
          <w:b/>
        </w:rPr>
        <w:t>r</w:t>
      </w:r>
      <w:r w:rsidRPr="00106DA0">
        <w:rPr>
          <w:b/>
        </w:rPr>
        <w:t>ehabilitation</w:t>
      </w:r>
      <w:r>
        <w:t xml:space="preserve">: If a service user has needs not met in the specialist assessment their tailored rehabilitation plan may involve a longer programme of rehabilitation or training sessions, normally conducted in their own homes. This may involve guidance in daily living skills, assistive technology, mobility or communication. </w:t>
      </w:r>
    </w:p>
    <w:p w14:paraId="199887E5" w14:textId="1D444980" w:rsidR="002B5543" w:rsidRDefault="002B5543" w:rsidP="00361C02">
      <w:pPr>
        <w:pStyle w:val="ListParagraph"/>
        <w:numPr>
          <w:ilvl w:val="0"/>
          <w:numId w:val="14"/>
        </w:numPr>
      </w:pPr>
      <w:r>
        <w:rPr>
          <w:b/>
        </w:rPr>
        <w:t>Follow</w:t>
      </w:r>
      <w:r w:rsidRPr="00C931BD">
        <w:t>-</w:t>
      </w:r>
      <w:r w:rsidRPr="00C931BD">
        <w:rPr>
          <w:b/>
        </w:rPr>
        <w:t>up</w:t>
      </w:r>
      <w:r>
        <w:t xml:space="preserve">: Once a service user has completed their rehabilitation plan with the service, staff may get back in touch after a set period of time to confirm their progress. </w:t>
      </w:r>
    </w:p>
    <w:p w14:paraId="5764BFD9" w14:textId="77777777" w:rsidR="002B5543" w:rsidRDefault="002B5543" w:rsidP="00C01BCB"/>
    <w:p w14:paraId="54BBC321" w14:textId="1084A0C5" w:rsidR="002B5543" w:rsidRPr="00070904" w:rsidRDefault="002B5543" w:rsidP="00070904">
      <w:r>
        <w:t xml:space="preserve">The table below lays out the five key stages of the vision rehabilitation process. </w:t>
      </w:r>
    </w:p>
    <w:tbl>
      <w:tblPr>
        <w:tblStyle w:val="TableGrid"/>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6596"/>
      </w:tblGrid>
      <w:tr w:rsidR="002B5543" w14:paraId="2B650825" w14:textId="77777777" w:rsidTr="00252871">
        <w:tc>
          <w:tcPr>
            <w:tcW w:w="2613" w:type="dxa"/>
          </w:tcPr>
          <w:p w14:paraId="0979B7B3" w14:textId="05615F28" w:rsidR="002B5543" w:rsidRPr="00CC3BEC" w:rsidRDefault="002B5543" w:rsidP="00361C02">
            <w:pPr>
              <w:pStyle w:val="ListParagraph"/>
              <w:numPr>
                <w:ilvl w:val="0"/>
                <w:numId w:val="18"/>
              </w:numPr>
            </w:pPr>
            <w:r>
              <w:t>Referral Received</w:t>
            </w:r>
          </w:p>
        </w:tc>
        <w:tc>
          <w:tcPr>
            <w:tcW w:w="6596" w:type="dxa"/>
          </w:tcPr>
          <w:p w14:paraId="3275E2F7" w14:textId="77777777" w:rsidR="002B5543" w:rsidRPr="00CC3BEC" w:rsidRDefault="002B5543" w:rsidP="00361C02">
            <w:pPr>
              <w:pStyle w:val="ListParagraph"/>
              <w:numPr>
                <w:ilvl w:val="0"/>
                <w:numId w:val="23"/>
              </w:numPr>
            </w:pPr>
            <w:r>
              <w:t>Referral pathways include:</w:t>
            </w:r>
          </w:p>
          <w:p w14:paraId="6F90E582" w14:textId="77777777" w:rsidR="002B5543" w:rsidRPr="00CC3BEC" w:rsidRDefault="002B5543" w:rsidP="00361C02">
            <w:pPr>
              <w:pStyle w:val="ListParagraph"/>
              <w:numPr>
                <w:ilvl w:val="0"/>
                <w:numId w:val="23"/>
              </w:numPr>
            </w:pPr>
            <w:r>
              <w:t>Certificate of Vision Impairment</w:t>
            </w:r>
          </w:p>
          <w:p w14:paraId="24C1ACE1" w14:textId="77777777" w:rsidR="002B5543" w:rsidRPr="00CC3BEC" w:rsidRDefault="002B5543" w:rsidP="00361C02">
            <w:pPr>
              <w:pStyle w:val="ListParagraph"/>
              <w:numPr>
                <w:ilvl w:val="0"/>
                <w:numId w:val="23"/>
              </w:numPr>
            </w:pPr>
            <w:r>
              <w:t xml:space="preserve">Self-referral or re-referral </w:t>
            </w:r>
          </w:p>
          <w:p w14:paraId="351208EF" w14:textId="77777777" w:rsidR="002B5543" w:rsidRPr="00CC3BEC" w:rsidRDefault="002B5543" w:rsidP="00361C02">
            <w:pPr>
              <w:pStyle w:val="ListParagraph"/>
              <w:numPr>
                <w:ilvl w:val="0"/>
                <w:numId w:val="23"/>
              </w:numPr>
            </w:pPr>
            <w:r>
              <w:t xml:space="preserve">Eye Clinic Liaison Officers </w:t>
            </w:r>
          </w:p>
          <w:p w14:paraId="0FED8075" w14:textId="77777777" w:rsidR="002B5543" w:rsidRPr="00CC3BEC" w:rsidRDefault="002B5543" w:rsidP="00361C02">
            <w:pPr>
              <w:pStyle w:val="ListParagraph"/>
              <w:numPr>
                <w:ilvl w:val="0"/>
                <w:numId w:val="23"/>
              </w:numPr>
            </w:pPr>
            <w:r>
              <w:t>GP</w:t>
            </w:r>
          </w:p>
          <w:p w14:paraId="2565D4DC" w14:textId="77777777" w:rsidR="002B5543" w:rsidRPr="00CC3BEC" w:rsidRDefault="002B5543" w:rsidP="00361C02">
            <w:pPr>
              <w:pStyle w:val="ListParagraph"/>
              <w:numPr>
                <w:ilvl w:val="0"/>
                <w:numId w:val="23"/>
              </w:numPr>
            </w:pPr>
            <w:r>
              <w:t xml:space="preserve">Voluntary sector organisations </w:t>
            </w:r>
          </w:p>
          <w:p w14:paraId="1D88FEF0" w14:textId="7112AFD8" w:rsidR="002B5543" w:rsidRPr="00CC3BEC" w:rsidRDefault="002B5543" w:rsidP="00361C02">
            <w:pPr>
              <w:pStyle w:val="ListParagraph"/>
              <w:numPr>
                <w:ilvl w:val="0"/>
                <w:numId w:val="23"/>
              </w:numPr>
            </w:pPr>
            <w:r>
              <w:t>Internal Referral</w:t>
            </w:r>
          </w:p>
        </w:tc>
      </w:tr>
      <w:tr w:rsidR="002B5543" w14:paraId="5BAA0004" w14:textId="77777777" w:rsidTr="00252871">
        <w:tc>
          <w:tcPr>
            <w:tcW w:w="2613" w:type="dxa"/>
          </w:tcPr>
          <w:p w14:paraId="5DF63A19" w14:textId="1429FDC7" w:rsidR="002B5543" w:rsidRPr="00CC3BEC" w:rsidRDefault="002B5543" w:rsidP="00361C02">
            <w:pPr>
              <w:pStyle w:val="ListParagraph"/>
              <w:numPr>
                <w:ilvl w:val="0"/>
                <w:numId w:val="18"/>
              </w:numPr>
            </w:pPr>
            <w:r>
              <w:t>Initial Assessment</w:t>
            </w:r>
          </w:p>
        </w:tc>
        <w:tc>
          <w:tcPr>
            <w:tcW w:w="6596" w:type="dxa"/>
          </w:tcPr>
          <w:p w14:paraId="2C952971" w14:textId="77777777" w:rsidR="002B5543" w:rsidRPr="003D0198" w:rsidRDefault="002B5543" w:rsidP="00361C02">
            <w:pPr>
              <w:pStyle w:val="ListParagraph"/>
              <w:numPr>
                <w:ilvl w:val="0"/>
                <w:numId w:val="23"/>
              </w:numPr>
              <w:spacing w:before="0" w:after="0"/>
              <w:ind w:right="0"/>
              <w:contextualSpacing/>
              <w:rPr>
                <w:rFonts w:asciiTheme="majorHAnsi" w:eastAsia="Times New Roman" w:hAnsiTheme="majorHAnsi" w:cstheme="majorBidi"/>
                <w:lang w:eastAsia="en-GB"/>
              </w:rPr>
            </w:pPr>
            <w:r w:rsidRPr="022DA057">
              <w:rPr>
                <w:rFonts w:asciiTheme="majorHAnsi" w:eastAsia="Times New Roman" w:hAnsiTheme="majorHAnsi" w:cstheme="majorBidi"/>
                <w:color w:val="000000"/>
                <w:lang w:eastAsia="en-GB"/>
              </w:rPr>
              <w:t>All clients contacted by telephone</w:t>
            </w:r>
          </w:p>
          <w:p w14:paraId="7163AEDC" w14:textId="77777777" w:rsidR="002B5543" w:rsidRPr="003D0198" w:rsidRDefault="002B5543" w:rsidP="00361C02">
            <w:pPr>
              <w:numPr>
                <w:ilvl w:val="0"/>
                <w:numId w:val="23"/>
              </w:numPr>
              <w:spacing w:before="0" w:after="0"/>
              <w:contextualSpacing/>
              <w:rPr>
                <w:rFonts w:asciiTheme="majorHAnsi" w:eastAsia="Times New Roman" w:hAnsiTheme="majorHAnsi" w:cstheme="majorBidi"/>
                <w:lang w:eastAsia="en-GB"/>
              </w:rPr>
            </w:pPr>
            <w:r w:rsidRPr="022DA057">
              <w:rPr>
                <w:rFonts w:asciiTheme="majorHAnsi" w:eastAsia="Times New Roman" w:hAnsiTheme="majorHAnsi" w:cstheme="majorBidi"/>
                <w:color w:val="000000"/>
                <w:lang w:eastAsia="en-GB"/>
              </w:rPr>
              <w:t>To determine urgency and need and/or make immediate referrals to appropriate services</w:t>
            </w:r>
          </w:p>
          <w:p w14:paraId="315AFDCC" w14:textId="77777777" w:rsidR="002B5543" w:rsidRPr="00CC3BEC" w:rsidRDefault="002B5543" w:rsidP="00361C02">
            <w:pPr>
              <w:numPr>
                <w:ilvl w:val="0"/>
                <w:numId w:val="23"/>
              </w:numPr>
              <w:spacing w:before="0" w:after="0"/>
              <w:contextualSpacing/>
            </w:pPr>
            <w:r w:rsidRPr="022DA057">
              <w:rPr>
                <w:rFonts w:asciiTheme="majorHAnsi" w:eastAsia="Times New Roman" w:hAnsiTheme="majorHAnsi" w:cstheme="majorBidi"/>
                <w:color w:val="000000"/>
                <w:lang w:eastAsia="en-GB"/>
              </w:rPr>
              <w:t>Clients need to be contacted within two working days, or 48 hours, of referral</w:t>
            </w:r>
          </w:p>
          <w:p w14:paraId="4A1FB5EF" w14:textId="6300D0E6" w:rsidR="002B5543" w:rsidRPr="00CC3BEC" w:rsidRDefault="002B5543" w:rsidP="00CC3BEC">
            <w:pPr>
              <w:spacing w:before="0" w:after="0"/>
              <w:ind w:left="720"/>
              <w:contextualSpacing/>
              <w:rPr>
                <w:szCs w:val="28"/>
              </w:rPr>
            </w:pPr>
          </w:p>
        </w:tc>
      </w:tr>
      <w:tr w:rsidR="002B5543" w14:paraId="21C2504B" w14:textId="77777777" w:rsidTr="00252871">
        <w:tc>
          <w:tcPr>
            <w:tcW w:w="2613" w:type="dxa"/>
          </w:tcPr>
          <w:p w14:paraId="1308635C" w14:textId="039B5801" w:rsidR="002B5543" w:rsidRPr="00CC3BEC" w:rsidRDefault="002B5543" w:rsidP="00361C02">
            <w:pPr>
              <w:pStyle w:val="ListParagraph"/>
              <w:numPr>
                <w:ilvl w:val="0"/>
                <w:numId w:val="18"/>
              </w:numPr>
            </w:pPr>
            <w:r>
              <w:t>Specialist Assessment</w:t>
            </w:r>
          </w:p>
        </w:tc>
        <w:tc>
          <w:tcPr>
            <w:tcW w:w="6596" w:type="dxa"/>
          </w:tcPr>
          <w:p w14:paraId="7770C0A8" w14:textId="77777777" w:rsidR="002B5543" w:rsidRPr="00CC3BEC" w:rsidRDefault="002B5543" w:rsidP="00361C02">
            <w:pPr>
              <w:pStyle w:val="ListParagraph"/>
              <w:numPr>
                <w:ilvl w:val="0"/>
                <w:numId w:val="23"/>
              </w:numPr>
            </w:pPr>
            <w:r>
              <w:t>Conducted by trained rehabilitation workers face to face</w:t>
            </w:r>
          </w:p>
          <w:p w14:paraId="3B9BE30B" w14:textId="77777777" w:rsidR="002B5543" w:rsidRPr="00CC3BEC" w:rsidRDefault="002B5543" w:rsidP="00361C02">
            <w:pPr>
              <w:pStyle w:val="ListParagraph"/>
              <w:numPr>
                <w:ilvl w:val="0"/>
                <w:numId w:val="23"/>
              </w:numPr>
            </w:pPr>
            <w:r>
              <w:t>Rehab workers assess the client’s needs</w:t>
            </w:r>
          </w:p>
          <w:p w14:paraId="6661FA21" w14:textId="77777777" w:rsidR="002B5543" w:rsidRPr="00CC3BEC" w:rsidRDefault="002B5543" w:rsidP="00361C02">
            <w:pPr>
              <w:pStyle w:val="ListParagraph"/>
              <w:numPr>
                <w:ilvl w:val="0"/>
                <w:numId w:val="23"/>
              </w:numPr>
            </w:pPr>
            <w:r>
              <w:t>May provide equipment to assist with daily living tasks</w:t>
            </w:r>
          </w:p>
          <w:p w14:paraId="57C5BBB9" w14:textId="77777777" w:rsidR="002B5543" w:rsidRPr="00CC3BEC" w:rsidRDefault="002B5543" w:rsidP="00361C02">
            <w:pPr>
              <w:pStyle w:val="ListParagraph"/>
              <w:numPr>
                <w:ilvl w:val="0"/>
                <w:numId w:val="23"/>
              </w:numPr>
            </w:pPr>
            <w:r>
              <w:t>If necessary they refer the client forward to ‘in-depth’ rehabilitation</w:t>
            </w:r>
          </w:p>
          <w:p w14:paraId="43D86E6E" w14:textId="77777777" w:rsidR="002B5543" w:rsidRPr="00CC3BEC" w:rsidRDefault="002B5543" w:rsidP="00CC3BEC">
            <w:pPr>
              <w:pStyle w:val="ListParagraph"/>
              <w:ind w:left="720"/>
              <w:rPr>
                <w:szCs w:val="28"/>
              </w:rPr>
            </w:pPr>
          </w:p>
        </w:tc>
      </w:tr>
      <w:tr w:rsidR="002B5543" w14:paraId="2E0F02A6" w14:textId="77777777" w:rsidTr="00252871">
        <w:tc>
          <w:tcPr>
            <w:tcW w:w="2613" w:type="dxa"/>
          </w:tcPr>
          <w:p w14:paraId="256D2885" w14:textId="374F93A0" w:rsidR="002B5543" w:rsidRPr="00CC3BEC" w:rsidRDefault="002B5543" w:rsidP="00361C02">
            <w:pPr>
              <w:pStyle w:val="ListParagraph"/>
              <w:numPr>
                <w:ilvl w:val="0"/>
                <w:numId w:val="18"/>
              </w:numPr>
            </w:pPr>
            <w:r>
              <w:t>In-depth  Rehabilitation</w:t>
            </w:r>
          </w:p>
        </w:tc>
        <w:tc>
          <w:tcPr>
            <w:tcW w:w="6596" w:type="dxa"/>
          </w:tcPr>
          <w:p w14:paraId="3B81393A" w14:textId="77777777" w:rsidR="002B5543" w:rsidRPr="00CC3BEC" w:rsidRDefault="002B5543" w:rsidP="00361C02">
            <w:pPr>
              <w:pStyle w:val="ListParagraph"/>
              <w:numPr>
                <w:ilvl w:val="0"/>
                <w:numId w:val="23"/>
              </w:numPr>
            </w:pPr>
            <w:r>
              <w:t>Tailored to the client based on needs</w:t>
            </w:r>
          </w:p>
          <w:p w14:paraId="677D471A" w14:textId="77777777" w:rsidR="002B5543" w:rsidRPr="00CC3BEC" w:rsidRDefault="002B5543" w:rsidP="00361C02">
            <w:pPr>
              <w:pStyle w:val="ListParagraph"/>
              <w:numPr>
                <w:ilvl w:val="0"/>
                <w:numId w:val="23"/>
              </w:numPr>
            </w:pPr>
            <w:r>
              <w:t>May occur over one or multiple visits</w:t>
            </w:r>
          </w:p>
          <w:p w14:paraId="4C1D92E7" w14:textId="37B96372" w:rsidR="002B5543" w:rsidRPr="00CC3BEC" w:rsidRDefault="002B5543" w:rsidP="00361C02">
            <w:pPr>
              <w:pStyle w:val="ListParagraph"/>
              <w:numPr>
                <w:ilvl w:val="0"/>
                <w:numId w:val="23"/>
              </w:numPr>
            </w:pPr>
            <w:r>
              <w:t>Involves creating a rehabilitation plan</w:t>
            </w:r>
          </w:p>
          <w:p w14:paraId="25997552" w14:textId="7CB98F80" w:rsidR="002B5543" w:rsidRPr="00CC3BEC" w:rsidRDefault="002B5543" w:rsidP="00361C02">
            <w:pPr>
              <w:pStyle w:val="ListParagraph"/>
              <w:numPr>
                <w:ilvl w:val="0"/>
                <w:numId w:val="23"/>
              </w:numPr>
            </w:pPr>
            <w:r>
              <w:t xml:space="preserve">May involve training in: </w:t>
            </w:r>
          </w:p>
          <w:p w14:paraId="0B36969F" w14:textId="77777777" w:rsidR="002B5543" w:rsidRPr="00CC3BEC" w:rsidRDefault="002B5543" w:rsidP="00361C02">
            <w:pPr>
              <w:pStyle w:val="ListParagraph"/>
              <w:numPr>
                <w:ilvl w:val="0"/>
                <w:numId w:val="23"/>
              </w:numPr>
            </w:pPr>
            <w:r>
              <w:t>Daily living skills &amp; assistive technology</w:t>
            </w:r>
          </w:p>
          <w:p w14:paraId="483CFE58" w14:textId="77777777" w:rsidR="002B5543" w:rsidRPr="00CC3BEC" w:rsidRDefault="002B5543" w:rsidP="00361C02">
            <w:pPr>
              <w:pStyle w:val="ListParagraph"/>
              <w:numPr>
                <w:ilvl w:val="0"/>
                <w:numId w:val="23"/>
              </w:numPr>
            </w:pPr>
            <w:r>
              <w:t>Mobility</w:t>
            </w:r>
          </w:p>
          <w:p w14:paraId="66F652BA" w14:textId="77777777" w:rsidR="002B5543" w:rsidRPr="00CC3BEC" w:rsidRDefault="002B5543" w:rsidP="00361C02">
            <w:pPr>
              <w:pStyle w:val="ListParagraph"/>
              <w:numPr>
                <w:ilvl w:val="0"/>
                <w:numId w:val="23"/>
              </w:numPr>
            </w:pPr>
            <w:r>
              <w:t xml:space="preserve">Communications technology </w:t>
            </w:r>
          </w:p>
          <w:p w14:paraId="67B84C8F" w14:textId="4642F142" w:rsidR="002B5543" w:rsidRPr="00CC3BEC" w:rsidRDefault="002B5543" w:rsidP="00361C02">
            <w:pPr>
              <w:pStyle w:val="ListParagraph"/>
              <w:numPr>
                <w:ilvl w:val="0"/>
                <w:numId w:val="23"/>
              </w:numPr>
            </w:pPr>
            <w:r>
              <w:t xml:space="preserve">Employment related support </w:t>
            </w:r>
          </w:p>
        </w:tc>
      </w:tr>
      <w:tr w:rsidR="002B5543" w14:paraId="716BA0D7" w14:textId="77777777" w:rsidTr="00252871">
        <w:tc>
          <w:tcPr>
            <w:tcW w:w="2613" w:type="dxa"/>
          </w:tcPr>
          <w:p w14:paraId="342B06AE" w14:textId="4D732CB0" w:rsidR="002B5543" w:rsidRPr="00CC3BEC" w:rsidRDefault="002B5543" w:rsidP="00361C02">
            <w:pPr>
              <w:pStyle w:val="ListParagraph"/>
              <w:numPr>
                <w:ilvl w:val="0"/>
                <w:numId w:val="18"/>
              </w:numPr>
            </w:pPr>
            <w:r>
              <w:t>Follow Up</w:t>
            </w:r>
          </w:p>
        </w:tc>
        <w:tc>
          <w:tcPr>
            <w:tcW w:w="6596" w:type="dxa"/>
          </w:tcPr>
          <w:p w14:paraId="049FEEE3" w14:textId="77777777" w:rsidR="002B5543" w:rsidRPr="00CC3BEC" w:rsidRDefault="002B5543" w:rsidP="00361C02">
            <w:pPr>
              <w:pStyle w:val="NormalWeb"/>
              <w:numPr>
                <w:ilvl w:val="0"/>
                <w:numId w:val="23"/>
              </w:numPr>
              <w:spacing w:before="0" w:beforeAutospacing="0" w:after="0" w:afterAutospacing="0"/>
              <w:rPr>
                <w:sz w:val="28"/>
                <w:szCs w:val="28"/>
              </w:rPr>
            </w:pPr>
            <w:r w:rsidRPr="0034410A">
              <w:rPr>
                <w:rFonts w:asciiTheme="minorHAnsi" w:hAnsi="Arial" w:cstheme="minorBidi"/>
                <w:kern w:val="24"/>
                <w:sz w:val="28"/>
                <w:szCs w:val="28"/>
              </w:rPr>
              <w:t>Some services contact people a set period of time after they have left the vision rehabilitation service to ensure their needs have been met</w:t>
            </w:r>
          </w:p>
          <w:p w14:paraId="71AC1341" w14:textId="2BE829FF" w:rsidR="002B5543" w:rsidRPr="0034410A" w:rsidRDefault="002B5543" w:rsidP="0034410A">
            <w:pPr>
              <w:pStyle w:val="NormalWeb"/>
              <w:spacing w:before="0" w:beforeAutospacing="0" w:after="0" w:afterAutospacing="0"/>
              <w:ind w:left="360"/>
              <w:rPr>
                <w:sz w:val="28"/>
                <w:szCs w:val="28"/>
              </w:rPr>
            </w:pPr>
          </w:p>
        </w:tc>
      </w:tr>
    </w:tbl>
    <w:p w14:paraId="58336043" w14:textId="085D9BD7" w:rsidR="002B5543" w:rsidRDefault="002B5543" w:rsidP="00C01BCB"/>
    <w:p w14:paraId="70BBD4E7" w14:textId="26CB38BC" w:rsidR="002B5543" w:rsidRDefault="002B5543" w:rsidP="002946B1">
      <w:r>
        <w:t>Not all vision rehabilitation service users will necessarily experience all the key stages during their vision rehabilitation experience; it will depend upon their individual needs and the appropriateness of the service for them. Vision rehabilitation teams make r</w:t>
      </w:r>
      <w:r w:rsidRPr="00D67D10">
        <w:t xml:space="preserve">eferrals to </w:t>
      </w:r>
      <w:r>
        <w:t>other relevant</w:t>
      </w:r>
      <w:r w:rsidRPr="00D67D10">
        <w:t xml:space="preserve"> services during any </w:t>
      </w:r>
      <w:r>
        <w:t xml:space="preserve">of the </w:t>
      </w:r>
      <w:r w:rsidRPr="00D67D10">
        <w:t>stage</w:t>
      </w:r>
      <w:r>
        <w:t xml:space="preserve">s of the vision rehabilitation process therefore, clients may leave the service after any of the stages, once their needs are met. </w:t>
      </w:r>
    </w:p>
    <w:p w14:paraId="30F2A7E3" w14:textId="77777777" w:rsidR="002B5543" w:rsidRDefault="002B5543" w:rsidP="001D50F9"/>
    <w:p w14:paraId="6282C4EE" w14:textId="3B478B90" w:rsidR="002B5543" w:rsidRDefault="002B5543" w:rsidP="001D50F9">
      <w:r>
        <w:t>Service users may also leave the service because they do not feel ready to engage, for example if their sight loss was recent and they have not yet come to terms with it; or they disengage for reasons unknown to the service.</w:t>
      </w:r>
    </w:p>
    <w:p w14:paraId="316E9A69" w14:textId="4FDBF3C1" w:rsidR="00D37082" w:rsidRDefault="002B5543" w:rsidP="00173142">
      <w:pPr>
        <w:pStyle w:val="Heading3"/>
      </w:pPr>
      <w:r>
        <w:t xml:space="preserve">Calculating </w:t>
      </w:r>
      <w:r w:rsidRPr="004B56C3">
        <w:t xml:space="preserve">costs </w:t>
      </w:r>
      <w:r>
        <w:t xml:space="preserve">of vision rehabilitation </w:t>
      </w:r>
    </w:p>
    <w:p w14:paraId="7A40720B" w14:textId="77777777" w:rsidR="00F83204" w:rsidRPr="00D37082" w:rsidRDefault="00F83204" w:rsidP="00F83204">
      <w:pPr>
        <w:rPr>
          <w:b/>
          <w:color w:val="191919" w:themeColor="background1" w:themeShade="1A"/>
        </w:rPr>
      </w:pPr>
      <w:r w:rsidRPr="00D37082">
        <w:rPr>
          <w:color w:val="191919" w:themeColor="background1" w:themeShade="1A"/>
        </w:rPr>
        <w:t xml:space="preserve">The total cost of the Sight for Surrey vision rehabilitation service in 2015/16 was </w:t>
      </w:r>
      <w:r w:rsidRPr="00D37082">
        <w:rPr>
          <w:b/>
          <w:color w:val="191919" w:themeColor="background1" w:themeShade="1A"/>
        </w:rPr>
        <w:t>£918,034*</w:t>
      </w:r>
      <w:r w:rsidRPr="00D37082">
        <w:rPr>
          <w:color w:val="191919" w:themeColor="background1" w:themeShade="1A"/>
        </w:rPr>
        <w:t xml:space="preserve">; which is a cost of </w:t>
      </w:r>
      <w:r w:rsidRPr="00D37082">
        <w:rPr>
          <w:b/>
          <w:color w:val="191919" w:themeColor="background1" w:themeShade="1A"/>
        </w:rPr>
        <w:t>£1,300 per referral</w:t>
      </w:r>
    </w:p>
    <w:p w14:paraId="66E6C1E9" w14:textId="06330BE4" w:rsidR="00F83204" w:rsidRDefault="00F83204" w:rsidP="00F83204">
      <w:r w:rsidRPr="00D37082">
        <w:rPr>
          <w:rFonts w:eastAsia="Times New Roman"/>
          <w:color w:val="191919" w:themeColor="background1" w:themeShade="1A"/>
          <w:lang w:val="en-AU"/>
        </w:rPr>
        <w:t>*The methodology used to calculate the costs associated with Sight for Surrey’s vision rehabilitation service generated a minimum to maximum range of the cost to deliver the service in 2015/16. This figure is the midpoint of that</w:t>
      </w:r>
      <w:r>
        <w:rPr>
          <w:rFonts w:eastAsia="Times New Roman"/>
          <w:color w:val="191919" w:themeColor="background1" w:themeShade="1A"/>
          <w:lang w:val="en-AU"/>
        </w:rPr>
        <w:t xml:space="preserve"> range: £739,364 to £1,096,703</w:t>
      </w:r>
    </w:p>
    <w:p w14:paraId="53852A48" w14:textId="77777777" w:rsidR="00F83204" w:rsidRPr="00F83204" w:rsidRDefault="00F83204" w:rsidP="00F83204"/>
    <w:p w14:paraId="68D17B7D" w14:textId="77777777" w:rsidR="00173142" w:rsidRDefault="00173142" w:rsidP="00FF11C7"/>
    <w:p w14:paraId="02AB9160" w14:textId="522B7918" w:rsidR="002B5543" w:rsidRDefault="002B5543" w:rsidP="00FF11C7">
      <w:r w:rsidRPr="00AD1CEF">
        <w:t xml:space="preserve">Staff-related costs outweigh non-staff costs in the Sight for Surrey service model. The breakdown of costs shown in the table below (and in more detail in Section 4 </w:t>
      </w:r>
      <w:r w:rsidRPr="00D37082">
        <w:t>of the main</w:t>
      </w:r>
      <w:r w:rsidRPr="00AD1CEF">
        <w:t xml:space="preserve"> report), demonstrate that the most significant amount of resource is being channelled into the </w:t>
      </w:r>
      <w:r w:rsidRPr="00587443">
        <w:t xml:space="preserve">in-depth rehabilitation </w:t>
      </w:r>
      <w:r w:rsidRPr="00AD1CEF">
        <w:t>stage of vision rehabilitation i.e. 6</w:t>
      </w:r>
      <w:r w:rsidRPr="00587443">
        <w:t>3</w:t>
      </w:r>
      <w:r w:rsidRPr="00AD1CEF">
        <w:t xml:space="preserve">% of all staff-related costs or </w:t>
      </w:r>
      <w:r w:rsidRPr="00587443">
        <w:t>49.2</w:t>
      </w:r>
      <w:r w:rsidRPr="00AD1CEF">
        <w:t xml:space="preserve">% of total </w:t>
      </w:r>
      <w:r>
        <w:t xml:space="preserve">calculated </w:t>
      </w:r>
      <w:r w:rsidRPr="00AD1CEF">
        <w:t xml:space="preserve">costs for the service. </w:t>
      </w:r>
    </w:p>
    <w:p w14:paraId="6F39203A" w14:textId="77777777" w:rsidR="002B5543" w:rsidRDefault="002B5543" w:rsidP="00A32C9C"/>
    <w:p w14:paraId="10FEC19A" w14:textId="55A871A3" w:rsidR="002B5543" w:rsidRPr="00E2481B" w:rsidRDefault="002B5543" w:rsidP="00A32C9C">
      <w:r w:rsidRPr="00E2481B">
        <w:t>In 2015/16 a total of 702 clients received a special</w:t>
      </w:r>
      <w:r>
        <w:t>ist assessment. F</w:t>
      </w:r>
      <w:r w:rsidRPr="00E2481B">
        <w:t>ewer clients went on to the in-depth rehabilitation stage</w:t>
      </w:r>
      <w:r>
        <w:t>. D</w:t>
      </w:r>
      <w:r w:rsidRPr="00E2481B">
        <w:t xml:space="preserve">ata was not available on the </w:t>
      </w:r>
      <w:r>
        <w:t>number</w:t>
      </w:r>
      <w:r w:rsidRPr="00E2481B">
        <w:t xml:space="preserve"> of clients that go on to receive in-depth </w:t>
      </w:r>
      <w:r w:rsidRPr="00A32C9C">
        <w:t>rehabilitation</w:t>
      </w:r>
      <w:r>
        <w:t xml:space="preserve"> [</w:t>
      </w:r>
      <w:r w:rsidRPr="00587443">
        <w:rPr>
          <w:rStyle w:val="EndnoteReference"/>
        </w:rPr>
        <w:endnoteReference w:id="6"/>
      </w:r>
      <w:r>
        <w:t>]</w:t>
      </w:r>
      <w:r w:rsidRPr="00A32C9C">
        <w:t xml:space="preserve"> however</w:t>
      </w:r>
      <w:r w:rsidRPr="00E2481B">
        <w:t xml:space="preserve"> </w:t>
      </w:r>
      <w:r>
        <w:t>it is known that a total o</w:t>
      </w:r>
      <w:r w:rsidRPr="00E2481B">
        <w:t>f 2</w:t>
      </w:r>
      <w:r>
        <w:t>84</w:t>
      </w:r>
      <w:r w:rsidRPr="00E2481B">
        <w:t xml:space="preserve"> in-depth rehabilitation </w:t>
      </w:r>
      <w:r>
        <w:t>referrals</w:t>
      </w:r>
      <w:r w:rsidRPr="00E2481B">
        <w:t xml:space="preserve"> were </w:t>
      </w:r>
      <w:r>
        <w:t>made into in-depth rehabilitation in 2015/16. This figure of 284 represents a</w:t>
      </w:r>
      <w:r w:rsidRPr="00BF29E2">
        <w:t xml:space="preserve"> referral into a </w:t>
      </w:r>
      <w:r>
        <w:t>specific</w:t>
      </w:r>
      <w:r w:rsidRPr="00BF29E2">
        <w:t xml:space="preserve"> type of rehab</w:t>
      </w:r>
      <w:r>
        <w:t>ilitation (e.g. daily living skills;</w:t>
      </w:r>
      <w:r w:rsidRPr="00BF29E2">
        <w:t xml:space="preserve"> mobility</w:t>
      </w:r>
      <w:r>
        <w:t xml:space="preserve"> training; braille) and not the number</w:t>
      </w:r>
      <w:r w:rsidRPr="00BF29E2">
        <w:t xml:space="preserve"> of individuals referred. </w:t>
      </w:r>
      <w:r>
        <w:t>The same individual could be referred to more than one type of rehabilitation. Therefore, the number of individuals receiving in-depth rehabilitation visits was less than or equal to 284</w:t>
      </w:r>
      <w:r w:rsidRPr="00E2481B">
        <w:t xml:space="preserve">. </w:t>
      </w:r>
    </w:p>
    <w:p w14:paraId="758FA849" w14:textId="77777777" w:rsidR="002B5543" w:rsidRDefault="002B5543" w:rsidP="00A32C9C"/>
    <w:p w14:paraId="689DC465" w14:textId="7E2BE8D1" w:rsidR="002B5543" w:rsidRPr="00DB23C3" w:rsidRDefault="002B5543" w:rsidP="00A32C9C">
      <w:r w:rsidRPr="00DB23C3">
        <w:t>At just under 20%, overheads are also a significant proportion of the costs associated with the case study service model.</w:t>
      </w:r>
    </w:p>
    <w:tbl>
      <w:tblPr>
        <w:tblStyle w:val="OPMLightListorBox"/>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 Calculations of Sight for Surrey staff related expenses, based on client throughput data for 2015/16, salary information and estimates of the time taken to deliver each stage of the vision rehabilitation service."/>
        <w:tblDescription w:val="This table shows the total staff costs (in pounds) of each of the Sight for Surrey vision rehabilitation service stages, as well as the overall total for all staff related expenses - this overall total is £249,472. The table also shows all stage costs as percentages of the total cost of staff related expenses and of the overall cost of the vision rehabilitation service. "/>
      </w:tblPr>
      <w:tblGrid>
        <w:gridCol w:w="5245"/>
        <w:gridCol w:w="1843"/>
        <w:gridCol w:w="1701"/>
      </w:tblGrid>
      <w:tr w:rsidR="002B5543" w:rsidRPr="00071CF0" w14:paraId="5CF2C876" w14:textId="77777777" w:rsidTr="00252871">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5245" w:type="dxa"/>
            <w:noWrap/>
            <w:hideMark/>
          </w:tcPr>
          <w:p w14:paraId="0AF4CF31" w14:textId="77777777" w:rsidR="002B5543" w:rsidRPr="00071CF0" w:rsidRDefault="5A182513" w:rsidP="5A182513">
            <w:pPr>
              <w:spacing w:before="0" w:after="0"/>
              <w:rPr>
                <w:rFonts w:eastAsiaTheme="minorEastAsia"/>
                <w:color w:val="000000"/>
                <w:lang w:val="en-AU"/>
              </w:rPr>
            </w:pPr>
            <w:r w:rsidRPr="5A182513">
              <w:rPr>
                <w:rFonts w:eastAsiaTheme="minorEastAsia"/>
                <w:color w:val="000000"/>
                <w:lang w:val="en-AU"/>
              </w:rPr>
              <w:t>Staff related expenses</w:t>
            </w:r>
          </w:p>
        </w:tc>
        <w:tc>
          <w:tcPr>
            <w:tcW w:w="1843" w:type="dxa"/>
          </w:tcPr>
          <w:p w14:paraId="35D6D242" w14:textId="77777777" w:rsidR="002B5543" w:rsidRPr="00071CF0" w:rsidRDefault="5A182513" w:rsidP="5A182513">
            <w:pPr>
              <w:spacing w:before="0" w:after="0"/>
              <w:cnfStyle w:val="100000000000" w:firstRow="1" w:lastRow="0" w:firstColumn="0" w:lastColumn="0" w:oddVBand="0" w:evenVBand="0" w:oddHBand="0" w:evenHBand="0" w:firstRowFirstColumn="0" w:firstRowLastColumn="0" w:lastRowFirstColumn="0" w:lastRowLastColumn="0"/>
              <w:rPr>
                <w:rFonts w:eastAsiaTheme="minorEastAsia"/>
                <w:color w:val="000000"/>
                <w:lang w:val="en-AU"/>
              </w:rPr>
            </w:pPr>
            <w:r w:rsidRPr="5A182513">
              <w:rPr>
                <w:rFonts w:eastAsiaTheme="minorEastAsia"/>
                <w:color w:val="000000"/>
                <w:lang w:val="en-AU"/>
              </w:rPr>
              <w:t>Percentage of staff costs</w:t>
            </w:r>
          </w:p>
        </w:tc>
        <w:tc>
          <w:tcPr>
            <w:tcW w:w="1701" w:type="dxa"/>
            <w:noWrap/>
            <w:hideMark/>
          </w:tcPr>
          <w:p w14:paraId="0D4CF8D5" w14:textId="77777777" w:rsidR="002B5543" w:rsidRPr="00071CF0" w:rsidRDefault="5A182513" w:rsidP="5A182513">
            <w:pPr>
              <w:spacing w:before="0" w:after="0"/>
              <w:cnfStyle w:val="100000000000" w:firstRow="1" w:lastRow="0" w:firstColumn="0" w:lastColumn="0" w:oddVBand="0" w:evenVBand="0" w:oddHBand="0" w:evenHBand="0" w:firstRowFirstColumn="0" w:firstRowLastColumn="0" w:lastRowFirstColumn="0" w:lastRowLastColumn="0"/>
              <w:rPr>
                <w:rFonts w:eastAsiaTheme="minorEastAsia"/>
                <w:color w:val="000000"/>
                <w:lang w:val="en-AU"/>
              </w:rPr>
            </w:pPr>
            <w:r w:rsidRPr="5A182513">
              <w:rPr>
                <w:rFonts w:eastAsiaTheme="minorEastAsia"/>
                <w:color w:val="000000"/>
                <w:lang w:val="en-AU"/>
              </w:rPr>
              <w:t>Percentage of total cost</w:t>
            </w:r>
          </w:p>
        </w:tc>
      </w:tr>
      <w:tr w:rsidR="002B5543" w:rsidRPr="00071CF0" w14:paraId="6232A1D2" w14:textId="77777777" w:rsidTr="0025287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245" w:type="dxa"/>
            <w:tcBorders>
              <w:top w:val="none" w:sz="0" w:space="0" w:color="auto"/>
              <w:left w:val="none" w:sz="0" w:space="0" w:color="auto"/>
              <w:bottom w:val="none" w:sz="0" w:space="0" w:color="auto"/>
            </w:tcBorders>
            <w:noWrap/>
            <w:hideMark/>
          </w:tcPr>
          <w:p w14:paraId="706E0220" w14:textId="4A96C4A1" w:rsidR="002B5543" w:rsidRPr="00071CF0" w:rsidRDefault="5A182513" w:rsidP="5A182513">
            <w:pPr>
              <w:spacing w:before="60" w:after="60"/>
              <w:rPr>
                <w:rFonts w:eastAsiaTheme="minorEastAsia"/>
                <w:color w:val="000000"/>
                <w:lang w:val="en-AU"/>
              </w:rPr>
            </w:pPr>
            <w:r w:rsidRPr="5A182513">
              <w:rPr>
                <w:rFonts w:eastAsiaTheme="minorEastAsia"/>
                <w:color w:val="000000"/>
                <w:lang w:val="en-AU"/>
              </w:rPr>
              <w:t>A. Referrals handling</w:t>
            </w:r>
          </w:p>
        </w:tc>
        <w:tc>
          <w:tcPr>
            <w:tcW w:w="1843" w:type="dxa"/>
            <w:tcBorders>
              <w:top w:val="none" w:sz="0" w:space="0" w:color="auto"/>
              <w:bottom w:val="none" w:sz="0" w:space="0" w:color="auto"/>
            </w:tcBorders>
          </w:tcPr>
          <w:p w14:paraId="10936848" w14:textId="6BC251F5" w:rsidR="002B5543" w:rsidRPr="00071CF0" w:rsidRDefault="5A182513" w:rsidP="5A182513">
            <w:pPr>
              <w:spacing w:before="60" w:after="6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lang w:val="en-AU"/>
              </w:rPr>
            </w:pPr>
            <w:r w:rsidRPr="5A182513">
              <w:rPr>
                <w:rFonts w:eastAsiaTheme="minorEastAsia"/>
                <w:color w:val="000000"/>
                <w:lang w:val="en-AU"/>
              </w:rPr>
              <w:t>0.7%</w:t>
            </w:r>
          </w:p>
        </w:tc>
        <w:tc>
          <w:tcPr>
            <w:tcW w:w="1701" w:type="dxa"/>
            <w:tcBorders>
              <w:top w:val="none" w:sz="0" w:space="0" w:color="auto"/>
              <w:bottom w:val="none" w:sz="0" w:space="0" w:color="auto"/>
              <w:right w:val="none" w:sz="0" w:space="0" w:color="auto"/>
            </w:tcBorders>
            <w:noWrap/>
            <w:hideMark/>
          </w:tcPr>
          <w:p w14:paraId="02145CA4" w14:textId="18CF08EF" w:rsidR="002B5543" w:rsidRPr="00071CF0" w:rsidRDefault="5A182513" w:rsidP="5A182513">
            <w:pPr>
              <w:spacing w:before="60" w:after="6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lang w:val="en-AU"/>
              </w:rPr>
            </w:pPr>
            <w:r w:rsidRPr="5A182513">
              <w:rPr>
                <w:rFonts w:eastAsiaTheme="minorEastAsia"/>
                <w:color w:val="000000"/>
                <w:lang w:val="en-AU"/>
              </w:rPr>
              <w:t>0.5%</w:t>
            </w:r>
          </w:p>
        </w:tc>
      </w:tr>
      <w:tr w:rsidR="002B5543" w:rsidRPr="00071CF0" w14:paraId="042FD0B8" w14:textId="77777777" w:rsidTr="00252871">
        <w:trPr>
          <w:trHeight w:val="280"/>
        </w:trPr>
        <w:tc>
          <w:tcPr>
            <w:cnfStyle w:val="001000000000" w:firstRow="0" w:lastRow="0" w:firstColumn="1" w:lastColumn="0" w:oddVBand="0" w:evenVBand="0" w:oddHBand="0" w:evenHBand="0" w:firstRowFirstColumn="0" w:firstRowLastColumn="0" w:lastRowFirstColumn="0" w:lastRowLastColumn="0"/>
            <w:tcW w:w="5245" w:type="dxa"/>
            <w:noWrap/>
            <w:hideMark/>
          </w:tcPr>
          <w:p w14:paraId="1F4B2A26" w14:textId="59968613" w:rsidR="002B5543" w:rsidRPr="00071CF0" w:rsidRDefault="5A182513" w:rsidP="5A182513">
            <w:pPr>
              <w:spacing w:before="60" w:after="60"/>
              <w:rPr>
                <w:rFonts w:eastAsiaTheme="minorEastAsia"/>
                <w:color w:val="000000"/>
                <w:lang w:val="en-AU"/>
              </w:rPr>
            </w:pPr>
            <w:r w:rsidRPr="5A182513">
              <w:rPr>
                <w:rFonts w:eastAsiaTheme="minorEastAsia"/>
                <w:color w:val="000000"/>
                <w:lang w:val="en-AU"/>
              </w:rPr>
              <w:t>B. Initial assessment</w:t>
            </w:r>
          </w:p>
        </w:tc>
        <w:tc>
          <w:tcPr>
            <w:tcW w:w="1843" w:type="dxa"/>
          </w:tcPr>
          <w:p w14:paraId="16B3DE40" w14:textId="37F5B8B8" w:rsidR="002B5543" w:rsidRPr="00071CF0" w:rsidRDefault="5A182513" w:rsidP="5A182513">
            <w:pPr>
              <w:spacing w:before="60" w:after="60"/>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lang w:val="en-AU"/>
              </w:rPr>
            </w:pPr>
            <w:r w:rsidRPr="5A182513">
              <w:rPr>
                <w:rFonts w:eastAsiaTheme="minorEastAsia"/>
                <w:color w:val="000000"/>
                <w:lang w:val="en-AU"/>
              </w:rPr>
              <w:t>1.9%</w:t>
            </w:r>
          </w:p>
        </w:tc>
        <w:tc>
          <w:tcPr>
            <w:tcW w:w="1701" w:type="dxa"/>
            <w:noWrap/>
            <w:hideMark/>
          </w:tcPr>
          <w:p w14:paraId="0D620393" w14:textId="68BC46EE" w:rsidR="002B5543" w:rsidRPr="00071CF0" w:rsidRDefault="5A182513" w:rsidP="5A182513">
            <w:pPr>
              <w:spacing w:before="60" w:after="60"/>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lang w:val="en-AU"/>
              </w:rPr>
            </w:pPr>
            <w:r w:rsidRPr="5A182513">
              <w:rPr>
                <w:rFonts w:eastAsiaTheme="minorEastAsia"/>
                <w:color w:val="000000"/>
                <w:lang w:val="en-AU"/>
              </w:rPr>
              <w:t>1.5%</w:t>
            </w:r>
          </w:p>
        </w:tc>
      </w:tr>
      <w:tr w:rsidR="002B5543" w:rsidRPr="00071CF0" w14:paraId="0F828CBA" w14:textId="77777777" w:rsidTr="0025287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245" w:type="dxa"/>
            <w:tcBorders>
              <w:top w:val="none" w:sz="0" w:space="0" w:color="auto"/>
              <w:left w:val="none" w:sz="0" w:space="0" w:color="auto"/>
              <w:bottom w:val="none" w:sz="0" w:space="0" w:color="auto"/>
            </w:tcBorders>
            <w:noWrap/>
            <w:hideMark/>
          </w:tcPr>
          <w:p w14:paraId="3BEF0A3B" w14:textId="19F9FB5E" w:rsidR="002B5543" w:rsidRPr="00071CF0" w:rsidRDefault="5A182513" w:rsidP="5A182513">
            <w:pPr>
              <w:spacing w:before="60" w:after="60"/>
              <w:rPr>
                <w:rFonts w:eastAsiaTheme="minorEastAsia"/>
                <w:color w:val="000000"/>
                <w:lang w:val="en-AU"/>
              </w:rPr>
            </w:pPr>
            <w:r w:rsidRPr="5A182513">
              <w:rPr>
                <w:rFonts w:eastAsiaTheme="minorEastAsia"/>
                <w:color w:val="000000"/>
                <w:lang w:val="en-AU"/>
              </w:rPr>
              <w:t xml:space="preserve">C. Pre-assessment </w:t>
            </w:r>
          </w:p>
        </w:tc>
        <w:tc>
          <w:tcPr>
            <w:tcW w:w="1843" w:type="dxa"/>
            <w:tcBorders>
              <w:top w:val="none" w:sz="0" w:space="0" w:color="auto"/>
              <w:bottom w:val="none" w:sz="0" w:space="0" w:color="auto"/>
            </w:tcBorders>
          </w:tcPr>
          <w:p w14:paraId="26B1B43C" w14:textId="2AB1B11A" w:rsidR="002B5543" w:rsidRPr="00071CF0" w:rsidRDefault="5A182513" w:rsidP="5A182513">
            <w:pPr>
              <w:spacing w:before="60" w:after="6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lang w:val="en-AU"/>
              </w:rPr>
            </w:pPr>
            <w:r w:rsidRPr="5A182513">
              <w:rPr>
                <w:rFonts w:eastAsiaTheme="minorEastAsia"/>
                <w:color w:val="000000"/>
                <w:lang w:val="en-AU"/>
              </w:rPr>
              <w:t>1.2%</w:t>
            </w:r>
          </w:p>
        </w:tc>
        <w:tc>
          <w:tcPr>
            <w:tcW w:w="1701" w:type="dxa"/>
            <w:tcBorders>
              <w:top w:val="none" w:sz="0" w:space="0" w:color="auto"/>
              <w:bottom w:val="none" w:sz="0" w:space="0" w:color="auto"/>
              <w:right w:val="none" w:sz="0" w:space="0" w:color="auto"/>
            </w:tcBorders>
            <w:noWrap/>
            <w:hideMark/>
          </w:tcPr>
          <w:p w14:paraId="0A5C3C50" w14:textId="3005E636" w:rsidR="002B5543" w:rsidRPr="00071CF0" w:rsidRDefault="5A182513" w:rsidP="5A182513">
            <w:pPr>
              <w:spacing w:before="60" w:after="6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lang w:val="en-AU"/>
              </w:rPr>
            </w:pPr>
            <w:r w:rsidRPr="5A182513">
              <w:rPr>
                <w:rFonts w:eastAsiaTheme="minorEastAsia"/>
                <w:color w:val="000000"/>
                <w:lang w:val="en-AU"/>
              </w:rPr>
              <w:t>0.9%</w:t>
            </w:r>
          </w:p>
        </w:tc>
      </w:tr>
      <w:tr w:rsidR="002B5543" w:rsidRPr="00071CF0" w14:paraId="3BB2FF0A" w14:textId="77777777" w:rsidTr="00252871">
        <w:trPr>
          <w:trHeight w:val="280"/>
        </w:trPr>
        <w:tc>
          <w:tcPr>
            <w:cnfStyle w:val="001000000000" w:firstRow="0" w:lastRow="0" w:firstColumn="1" w:lastColumn="0" w:oddVBand="0" w:evenVBand="0" w:oddHBand="0" w:evenHBand="0" w:firstRowFirstColumn="0" w:firstRowLastColumn="0" w:lastRowFirstColumn="0" w:lastRowLastColumn="0"/>
            <w:tcW w:w="5245" w:type="dxa"/>
            <w:noWrap/>
            <w:hideMark/>
          </w:tcPr>
          <w:p w14:paraId="01998F9D" w14:textId="6D5D71F7" w:rsidR="002B5543" w:rsidRPr="00071CF0" w:rsidRDefault="5A182513" w:rsidP="5A182513">
            <w:pPr>
              <w:spacing w:before="60" w:after="60"/>
              <w:rPr>
                <w:rFonts w:eastAsiaTheme="minorEastAsia"/>
                <w:color w:val="000000"/>
                <w:lang w:val="en-AU"/>
              </w:rPr>
            </w:pPr>
            <w:r w:rsidRPr="5A182513">
              <w:rPr>
                <w:rFonts w:eastAsiaTheme="minorEastAsia"/>
                <w:color w:val="000000"/>
                <w:lang w:val="en-AU"/>
              </w:rPr>
              <w:t>D. Specialist assessment</w:t>
            </w:r>
          </w:p>
        </w:tc>
        <w:tc>
          <w:tcPr>
            <w:tcW w:w="1843" w:type="dxa"/>
          </w:tcPr>
          <w:p w14:paraId="27ED3911" w14:textId="34EA1475" w:rsidR="002B5543" w:rsidRPr="00071CF0" w:rsidRDefault="5A182513" w:rsidP="5A182513">
            <w:pPr>
              <w:spacing w:before="60" w:after="60"/>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lang w:val="en-AU"/>
              </w:rPr>
            </w:pPr>
            <w:r w:rsidRPr="5A182513">
              <w:rPr>
                <w:rFonts w:eastAsiaTheme="minorEastAsia"/>
                <w:color w:val="000000"/>
                <w:lang w:val="en-AU"/>
              </w:rPr>
              <w:t>24.4%</w:t>
            </w:r>
          </w:p>
        </w:tc>
        <w:tc>
          <w:tcPr>
            <w:tcW w:w="1701" w:type="dxa"/>
            <w:noWrap/>
            <w:hideMark/>
          </w:tcPr>
          <w:p w14:paraId="52B3182B" w14:textId="3C607C21" w:rsidR="002B5543" w:rsidRPr="00071CF0" w:rsidRDefault="5A182513" w:rsidP="5A182513">
            <w:pPr>
              <w:spacing w:before="60" w:after="60"/>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lang w:val="en-AU"/>
              </w:rPr>
            </w:pPr>
            <w:r w:rsidRPr="5A182513">
              <w:rPr>
                <w:rFonts w:eastAsiaTheme="minorEastAsia"/>
                <w:color w:val="000000"/>
                <w:lang w:val="en-AU"/>
              </w:rPr>
              <w:t>19.0%</w:t>
            </w:r>
          </w:p>
        </w:tc>
      </w:tr>
      <w:tr w:rsidR="002B5543" w:rsidRPr="00071CF0" w14:paraId="69A3F5A7" w14:textId="77777777" w:rsidTr="0025287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245" w:type="dxa"/>
            <w:tcBorders>
              <w:top w:val="none" w:sz="0" w:space="0" w:color="auto"/>
              <w:left w:val="none" w:sz="0" w:space="0" w:color="auto"/>
              <w:bottom w:val="none" w:sz="0" w:space="0" w:color="auto"/>
            </w:tcBorders>
            <w:noWrap/>
            <w:hideMark/>
          </w:tcPr>
          <w:p w14:paraId="57BFFAF9" w14:textId="2CDE1C23" w:rsidR="002B5543" w:rsidRPr="00071CF0" w:rsidRDefault="5A182513" w:rsidP="5A182513">
            <w:pPr>
              <w:spacing w:before="60" w:after="60"/>
              <w:rPr>
                <w:rFonts w:eastAsiaTheme="minorEastAsia"/>
                <w:color w:val="000000"/>
                <w:lang w:val="en-AU"/>
              </w:rPr>
            </w:pPr>
            <w:r w:rsidRPr="5A182513">
              <w:rPr>
                <w:rFonts w:eastAsiaTheme="minorEastAsia"/>
                <w:color w:val="000000"/>
                <w:lang w:val="en-AU"/>
              </w:rPr>
              <w:t xml:space="preserve">E. In-depth rehabilitation </w:t>
            </w:r>
          </w:p>
        </w:tc>
        <w:tc>
          <w:tcPr>
            <w:tcW w:w="1843" w:type="dxa"/>
            <w:tcBorders>
              <w:top w:val="none" w:sz="0" w:space="0" w:color="auto"/>
              <w:bottom w:val="none" w:sz="0" w:space="0" w:color="auto"/>
            </w:tcBorders>
          </w:tcPr>
          <w:p w14:paraId="168CF944" w14:textId="5C86D594" w:rsidR="002B5543" w:rsidRPr="00071CF0" w:rsidRDefault="5A182513" w:rsidP="5A182513">
            <w:pPr>
              <w:spacing w:before="60" w:after="6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lang w:val="en-AU"/>
              </w:rPr>
            </w:pPr>
            <w:r w:rsidRPr="5A182513">
              <w:rPr>
                <w:rFonts w:eastAsiaTheme="minorEastAsia"/>
                <w:color w:val="000000"/>
                <w:lang w:val="en-AU"/>
              </w:rPr>
              <w:t>63.0%</w:t>
            </w:r>
          </w:p>
        </w:tc>
        <w:tc>
          <w:tcPr>
            <w:tcW w:w="1701" w:type="dxa"/>
            <w:tcBorders>
              <w:top w:val="none" w:sz="0" w:space="0" w:color="auto"/>
              <w:bottom w:val="none" w:sz="0" w:space="0" w:color="auto"/>
              <w:right w:val="none" w:sz="0" w:space="0" w:color="auto"/>
            </w:tcBorders>
            <w:noWrap/>
            <w:hideMark/>
          </w:tcPr>
          <w:p w14:paraId="394365C4" w14:textId="47F71D9B" w:rsidR="002B5543" w:rsidRPr="00071CF0" w:rsidRDefault="5A182513" w:rsidP="5A182513">
            <w:pPr>
              <w:spacing w:before="60" w:after="6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lang w:val="en-AU"/>
              </w:rPr>
            </w:pPr>
            <w:r w:rsidRPr="5A182513">
              <w:rPr>
                <w:rFonts w:eastAsiaTheme="minorEastAsia"/>
                <w:color w:val="000000"/>
                <w:lang w:val="en-AU"/>
              </w:rPr>
              <w:t>49.2%</w:t>
            </w:r>
          </w:p>
        </w:tc>
      </w:tr>
      <w:tr w:rsidR="002B5543" w:rsidRPr="00071CF0" w14:paraId="0C452B44" w14:textId="77777777" w:rsidTr="00252871">
        <w:trPr>
          <w:trHeight w:val="280"/>
        </w:trPr>
        <w:tc>
          <w:tcPr>
            <w:cnfStyle w:val="001000000000" w:firstRow="0" w:lastRow="0" w:firstColumn="1" w:lastColumn="0" w:oddVBand="0" w:evenVBand="0" w:oddHBand="0" w:evenHBand="0" w:firstRowFirstColumn="0" w:firstRowLastColumn="0" w:lastRowFirstColumn="0" w:lastRowLastColumn="0"/>
            <w:tcW w:w="5245" w:type="dxa"/>
            <w:noWrap/>
            <w:hideMark/>
          </w:tcPr>
          <w:p w14:paraId="65288B90" w14:textId="1FBF335C" w:rsidR="002B5543" w:rsidRPr="00071CF0" w:rsidRDefault="5A182513" w:rsidP="5A182513">
            <w:pPr>
              <w:spacing w:before="60" w:after="60"/>
              <w:rPr>
                <w:rFonts w:eastAsiaTheme="minorEastAsia"/>
                <w:color w:val="000000"/>
                <w:lang w:val="en-AU"/>
              </w:rPr>
            </w:pPr>
            <w:r w:rsidRPr="5A182513">
              <w:rPr>
                <w:rFonts w:eastAsiaTheme="minorEastAsia"/>
                <w:color w:val="000000"/>
                <w:lang w:val="en-AU"/>
              </w:rPr>
              <w:t xml:space="preserve">F. Follow up </w:t>
            </w:r>
          </w:p>
        </w:tc>
        <w:tc>
          <w:tcPr>
            <w:tcW w:w="1843" w:type="dxa"/>
          </w:tcPr>
          <w:p w14:paraId="249334E0" w14:textId="68E791B4" w:rsidR="002B5543" w:rsidRPr="00071CF0" w:rsidRDefault="5A182513" w:rsidP="5A182513">
            <w:pPr>
              <w:spacing w:before="60" w:after="60"/>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lang w:val="en-AU"/>
              </w:rPr>
            </w:pPr>
            <w:r w:rsidRPr="5A182513">
              <w:rPr>
                <w:rFonts w:eastAsiaTheme="minorEastAsia"/>
                <w:color w:val="000000"/>
                <w:lang w:val="en-AU"/>
              </w:rPr>
              <w:t>0.8%</w:t>
            </w:r>
          </w:p>
        </w:tc>
        <w:tc>
          <w:tcPr>
            <w:tcW w:w="1701" w:type="dxa"/>
            <w:noWrap/>
            <w:hideMark/>
          </w:tcPr>
          <w:p w14:paraId="3E6037B0" w14:textId="6912B72F" w:rsidR="002B5543" w:rsidRPr="00071CF0" w:rsidRDefault="5A182513" w:rsidP="5A182513">
            <w:pPr>
              <w:spacing w:before="60" w:after="60"/>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lang w:val="en-AU"/>
              </w:rPr>
            </w:pPr>
            <w:r w:rsidRPr="5A182513">
              <w:rPr>
                <w:rFonts w:eastAsiaTheme="minorEastAsia"/>
                <w:color w:val="000000"/>
                <w:lang w:val="en-AU"/>
              </w:rPr>
              <w:t>0.6%</w:t>
            </w:r>
          </w:p>
        </w:tc>
      </w:tr>
      <w:tr w:rsidR="002B5543" w:rsidRPr="00071CF0" w14:paraId="098E8C11" w14:textId="77777777" w:rsidTr="0025287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245" w:type="dxa"/>
            <w:tcBorders>
              <w:top w:val="none" w:sz="0" w:space="0" w:color="auto"/>
              <w:left w:val="none" w:sz="0" w:space="0" w:color="auto"/>
              <w:bottom w:val="none" w:sz="0" w:space="0" w:color="auto"/>
            </w:tcBorders>
            <w:noWrap/>
            <w:hideMark/>
          </w:tcPr>
          <w:p w14:paraId="29137836" w14:textId="77777777" w:rsidR="002B5543" w:rsidRPr="00071CF0" w:rsidRDefault="5A182513" w:rsidP="5A182513">
            <w:pPr>
              <w:spacing w:before="60" w:after="60"/>
              <w:rPr>
                <w:rFonts w:eastAsiaTheme="minorEastAsia"/>
                <w:color w:val="000000"/>
                <w:lang w:val="en-AU"/>
              </w:rPr>
            </w:pPr>
            <w:r w:rsidRPr="5A182513">
              <w:rPr>
                <w:rFonts w:eastAsiaTheme="minorEastAsia"/>
                <w:color w:val="000000"/>
                <w:lang w:val="en-AU"/>
              </w:rPr>
              <w:t xml:space="preserve">Management tasks: </w:t>
            </w:r>
          </w:p>
          <w:p w14:paraId="1EAC6002" w14:textId="64560D45" w:rsidR="002B5543" w:rsidRPr="002808AF" w:rsidRDefault="5A182513" w:rsidP="5A182513">
            <w:pPr>
              <w:spacing w:before="60" w:after="60"/>
              <w:rPr>
                <w:rFonts w:eastAsiaTheme="minorEastAsia"/>
                <w:b w:val="0"/>
                <w:bCs w:val="0"/>
                <w:color w:val="000000"/>
                <w:lang w:val="en-AU"/>
              </w:rPr>
            </w:pPr>
            <w:r w:rsidRPr="5A182513">
              <w:rPr>
                <w:rFonts w:eastAsiaTheme="minorEastAsia"/>
                <w:b w:val="0"/>
                <w:bCs w:val="0"/>
                <w:color w:val="000000"/>
                <w:lang w:val="en-AU"/>
              </w:rPr>
              <w:t>Including complex case supervision; service strategy, policy, process guidance; and all staff team meetings</w:t>
            </w:r>
          </w:p>
        </w:tc>
        <w:tc>
          <w:tcPr>
            <w:tcW w:w="1843" w:type="dxa"/>
            <w:tcBorders>
              <w:top w:val="none" w:sz="0" w:space="0" w:color="auto"/>
              <w:bottom w:val="none" w:sz="0" w:space="0" w:color="auto"/>
            </w:tcBorders>
          </w:tcPr>
          <w:p w14:paraId="57A59E4D" w14:textId="4210C305" w:rsidR="002B5543" w:rsidRPr="00071CF0" w:rsidRDefault="5A182513" w:rsidP="5A182513">
            <w:pPr>
              <w:spacing w:before="60" w:after="6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lang w:val="en-AU"/>
              </w:rPr>
            </w:pPr>
            <w:r w:rsidRPr="5A182513">
              <w:rPr>
                <w:rFonts w:eastAsiaTheme="minorEastAsia"/>
                <w:color w:val="000000"/>
                <w:lang w:val="en-AU"/>
              </w:rPr>
              <w:t>7.0%</w:t>
            </w:r>
          </w:p>
        </w:tc>
        <w:tc>
          <w:tcPr>
            <w:tcW w:w="1701" w:type="dxa"/>
            <w:tcBorders>
              <w:top w:val="none" w:sz="0" w:space="0" w:color="auto"/>
              <w:bottom w:val="none" w:sz="0" w:space="0" w:color="auto"/>
              <w:right w:val="none" w:sz="0" w:space="0" w:color="auto"/>
            </w:tcBorders>
            <w:noWrap/>
            <w:hideMark/>
          </w:tcPr>
          <w:p w14:paraId="07B6C41F" w14:textId="3111E183" w:rsidR="002B5543" w:rsidRPr="00071CF0" w:rsidRDefault="5A182513" w:rsidP="5A182513">
            <w:pPr>
              <w:spacing w:before="60" w:after="6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lang w:val="en-AU"/>
              </w:rPr>
            </w:pPr>
            <w:r w:rsidRPr="5A182513">
              <w:rPr>
                <w:rFonts w:eastAsiaTheme="minorEastAsia"/>
                <w:color w:val="000000"/>
                <w:lang w:val="en-AU"/>
              </w:rPr>
              <w:t>5.5%</w:t>
            </w:r>
          </w:p>
        </w:tc>
      </w:tr>
      <w:tr w:rsidR="002B5543" w:rsidRPr="00071CF0" w14:paraId="2EC49D48" w14:textId="77777777" w:rsidTr="00252871">
        <w:trPr>
          <w:trHeight w:val="280"/>
        </w:trPr>
        <w:tc>
          <w:tcPr>
            <w:cnfStyle w:val="001000000000" w:firstRow="0" w:lastRow="0" w:firstColumn="1" w:lastColumn="0" w:oddVBand="0" w:evenVBand="0" w:oddHBand="0" w:evenHBand="0" w:firstRowFirstColumn="0" w:firstRowLastColumn="0" w:lastRowFirstColumn="0" w:lastRowLastColumn="0"/>
            <w:tcW w:w="5245" w:type="dxa"/>
            <w:noWrap/>
            <w:hideMark/>
          </w:tcPr>
          <w:p w14:paraId="2AF5D868" w14:textId="3930659C" w:rsidR="002B5543" w:rsidRPr="00071CF0" w:rsidRDefault="5A182513" w:rsidP="5A182513">
            <w:pPr>
              <w:spacing w:before="60" w:after="60"/>
              <w:rPr>
                <w:rFonts w:eastAsiaTheme="minorEastAsia"/>
                <w:color w:val="000000"/>
                <w:lang w:val="en-AU"/>
              </w:rPr>
            </w:pPr>
            <w:r w:rsidRPr="5A182513">
              <w:rPr>
                <w:rFonts w:eastAsiaTheme="minorEastAsia"/>
                <w:color w:val="000000"/>
                <w:lang w:val="en-AU"/>
              </w:rPr>
              <w:t xml:space="preserve">Issuing equipment </w:t>
            </w:r>
          </w:p>
        </w:tc>
        <w:tc>
          <w:tcPr>
            <w:tcW w:w="1843" w:type="dxa"/>
          </w:tcPr>
          <w:p w14:paraId="0D18F6FA" w14:textId="6180A390" w:rsidR="002B5543" w:rsidRPr="00071CF0" w:rsidRDefault="5A182513" w:rsidP="5A182513">
            <w:pPr>
              <w:spacing w:before="60" w:after="60"/>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lang w:val="en-AU"/>
              </w:rPr>
            </w:pPr>
            <w:r w:rsidRPr="5A182513">
              <w:rPr>
                <w:rFonts w:eastAsiaTheme="minorEastAsia"/>
                <w:color w:val="000000"/>
                <w:lang w:val="en-AU"/>
              </w:rPr>
              <w:t>1.1%</w:t>
            </w:r>
          </w:p>
        </w:tc>
        <w:tc>
          <w:tcPr>
            <w:tcW w:w="1701" w:type="dxa"/>
            <w:noWrap/>
            <w:hideMark/>
          </w:tcPr>
          <w:p w14:paraId="11C7884D" w14:textId="37CC48FE" w:rsidR="002B5543" w:rsidRPr="00071CF0" w:rsidRDefault="5A182513" w:rsidP="5A182513">
            <w:pPr>
              <w:spacing w:before="60" w:after="60"/>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lang w:val="en-AU"/>
              </w:rPr>
            </w:pPr>
            <w:r w:rsidRPr="5A182513">
              <w:rPr>
                <w:rFonts w:eastAsiaTheme="minorEastAsia"/>
                <w:color w:val="000000"/>
                <w:lang w:val="en-AU"/>
              </w:rPr>
              <w:t>0.8%</w:t>
            </w:r>
          </w:p>
        </w:tc>
      </w:tr>
      <w:tr w:rsidR="002B5543" w:rsidRPr="00071CF0" w14:paraId="668BF789" w14:textId="77777777" w:rsidTr="0025287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245" w:type="dxa"/>
            <w:tcBorders>
              <w:top w:val="none" w:sz="0" w:space="0" w:color="auto"/>
              <w:left w:val="none" w:sz="0" w:space="0" w:color="auto"/>
              <w:bottom w:val="none" w:sz="0" w:space="0" w:color="auto"/>
            </w:tcBorders>
            <w:noWrap/>
            <w:hideMark/>
          </w:tcPr>
          <w:p w14:paraId="47D2AC8C" w14:textId="21FA563E" w:rsidR="002B5543" w:rsidRPr="00071CF0" w:rsidRDefault="00173142" w:rsidP="5A182513">
            <w:pPr>
              <w:spacing w:before="60" w:after="60"/>
              <w:rPr>
                <w:rFonts w:eastAsiaTheme="minorEastAsia"/>
                <w:color w:val="000000"/>
                <w:lang w:val="en-AU"/>
              </w:rPr>
            </w:pPr>
            <w:r>
              <w:rPr>
                <w:rFonts w:eastAsiaTheme="minorEastAsia"/>
                <w:color w:val="000000"/>
                <w:lang w:val="en-AU"/>
              </w:rPr>
              <w:t>Sub-total</w:t>
            </w:r>
            <w:r w:rsidR="002B5543" w:rsidRPr="5A182513">
              <w:rPr>
                <w:rFonts w:eastAsiaTheme="minorEastAsia"/>
                <w:color w:val="000000"/>
                <w:lang w:val="en-AU"/>
              </w:rPr>
              <w:t xml:space="preserve"> - Staff costs </w:t>
            </w:r>
            <w:r w:rsidR="002B5543" w:rsidRPr="5A182513">
              <w:rPr>
                <w:rFonts w:eastAsiaTheme="minorEastAsia"/>
                <w:b w:val="0"/>
                <w:bCs w:val="0"/>
                <w:color w:val="000000"/>
                <w:lang w:val="en-AU"/>
              </w:rPr>
              <w:t>[</w:t>
            </w:r>
            <w:r w:rsidR="002B5543" w:rsidRPr="5A182513">
              <w:rPr>
                <w:rStyle w:val="EndnoteReference"/>
                <w:rFonts w:eastAsiaTheme="minorEastAsia"/>
                <w:b w:val="0"/>
                <w:bCs w:val="0"/>
                <w:lang w:val="en-AU"/>
              </w:rPr>
              <w:endnoteReference w:id="7"/>
            </w:r>
            <w:r w:rsidR="002B5543" w:rsidRPr="5A182513">
              <w:rPr>
                <w:rFonts w:eastAsiaTheme="minorEastAsia"/>
                <w:b w:val="0"/>
                <w:bCs w:val="0"/>
                <w:color w:val="000000"/>
                <w:lang w:val="en-AU"/>
              </w:rPr>
              <w:t xml:space="preserve">] </w:t>
            </w:r>
          </w:p>
        </w:tc>
        <w:tc>
          <w:tcPr>
            <w:tcW w:w="1843" w:type="dxa"/>
            <w:tcBorders>
              <w:top w:val="none" w:sz="0" w:space="0" w:color="auto"/>
              <w:bottom w:val="none" w:sz="0" w:space="0" w:color="auto"/>
            </w:tcBorders>
          </w:tcPr>
          <w:p w14:paraId="3B9128BF" w14:textId="31C5ED9C" w:rsidR="002B5543" w:rsidRPr="00071CF0" w:rsidRDefault="5A182513" w:rsidP="5A182513">
            <w:pPr>
              <w:spacing w:before="60" w:after="60"/>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lang w:val="en-AU"/>
              </w:rPr>
            </w:pPr>
            <w:r w:rsidRPr="5A182513">
              <w:rPr>
                <w:rFonts w:eastAsiaTheme="minorEastAsia"/>
                <w:b/>
                <w:bCs/>
                <w:color w:val="000000"/>
                <w:lang w:val="en-AU"/>
              </w:rPr>
              <w:t>100%</w:t>
            </w:r>
          </w:p>
        </w:tc>
        <w:tc>
          <w:tcPr>
            <w:tcW w:w="1701" w:type="dxa"/>
            <w:tcBorders>
              <w:top w:val="none" w:sz="0" w:space="0" w:color="auto"/>
              <w:bottom w:val="none" w:sz="0" w:space="0" w:color="auto"/>
              <w:right w:val="none" w:sz="0" w:space="0" w:color="auto"/>
            </w:tcBorders>
            <w:noWrap/>
            <w:hideMark/>
          </w:tcPr>
          <w:p w14:paraId="4AD4F370" w14:textId="33191868" w:rsidR="002B5543" w:rsidRPr="00071CF0" w:rsidRDefault="5A182513" w:rsidP="5A182513">
            <w:pPr>
              <w:spacing w:before="60" w:after="60"/>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000000"/>
                <w:lang w:val="en-AU"/>
              </w:rPr>
            </w:pPr>
            <w:r w:rsidRPr="5A182513">
              <w:rPr>
                <w:rFonts w:eastAsiaTheme="minorEastAsia"/>
                <w:b/>
                <w:bCs/>
                <w:color w:val="000000"/>
                <w:lang w:val="en-AU"/>
              </w:rPr>
              <w:t>78%</w:t>
            </w:r>
          </w:p>
        </w:tc>
      </w:tr>
      <w:tr w:rsidR="002B5543" w:rsidRPr="00071CF0" w14:paraId="0FCB1F5A" w14:textId="77777777" w:rsidTr="00252871">
        <w:trPr>
          <w:trHeight w:val="280"/>
        </w:trPr>
        <w:tc>
          <w:tcPr>
            <w:cnfStyle w:val="001000000000" w:firstRow="0" w:lastRow="0" w:firstColumn="1" w:lastColumn="0" w:oddVBand="0" w:evenVBand="0" w:oddHBand="0" w:evenHBand="0" w:firstRowFirstColumn="0" w:firstRowLastColumn="0" w:lastRowFirstColumn="0" w:lastRowLastColumn="0"/>
            <w:tcW w:w="5245" w:type="dxa"/>
            <w:shd w:val="clear" w:color="auto" w:fill="4D959A"/>
            <w:noWrap/>
          </w:tcPr>
          <w:p w14:paraId="19006E90" w14:textId="77777777" w:rsidR="002B5543" w:rsidRPr="00071CF0" w:rsidRDefault="5A182513" w:rsidP="5A182513">
            <w:pPr>
              <w:spacing w:before="0" w:after="0"/>
              <w:rPr>
                <w:rFonts w:eastAsiaTheme="minorEastAsia"/>
                <w:color w:val="000000"/>
                <w:lang w:val="en-AU"/>
              </w:rPr>
            </w:pPr>
            <w:r w:rsidRPr="5A182513">
              <w:rPr>
                <w:rFonts w:eastAsiaTheme="minorEastAsia"/>
                <w:color w:val="000000"/>
                <w:lang w:val="en-AU"/>
              </w:rPr>
              <w:t>Non-staff expenses</w:t>
            </w:r>
          </w:p>
        </w:tc>
        <w:tc>
          <w:tcPr>
            <w:tcW w:w="1843" w:type="dxa"/>
            <w:shd w:val="clear" w:color="auto" w:fill="4D959A"/>
          </w:tcPr>
          <w:p w14:paraId="1287169E" w14:textId="77777777" w:rsidR="002B5543" w:rsidRPr="00071CF0" w:rsidRDefault="5A182513" w:rsidP="5A182513">
            <w:pPr>
              <w:spacing w:before="0" w:after="0"/>
              <w:cnfStyle w:val="000000000000" w:firstRow="0" w:lastRow="0" w:firstColumn="0" w:lastColumn="0" w:oddVBand="0" w:evenVBand="0" w:oddHBand="0" w:evenHBand="0" w:firstRowFirstColumn="0" w:firstRowLastColumn="0" w:lastRowFirstColumn="0" w:lastRowLastColumn="0"/>
              <w:rPr>
                <w:rFonts w:eastAsiaTheme="minorEastAsia"/>
                <w:b/>
                <w:bCs/>
                <w:color w:val="000000"/>
                <w:lang w:val="en-AU"/>
              </w:rPr>
            </w:pPr>
            <w:r w:rsidRPr="5A182513">
              <w:rPr>
                <w:rFonts w:eastAsiaTheme="minorEastAsia"/>
                <w:b/>
                <w:bCs/>
                <w:color w:val="000000"/>
                <w:lang w:val="en-AU"/>
              </w:rPr>
              <w:t>Percentage of non-staff costs</w:t>
            </w:r>
          </w:p>
        </w:tc>
        <w:tc>
          <w:tcPr>
            <w:tcW w:w="1701" w:type="dxa"/>
            <w:shd w:val="clear" w:color="auto" w:fill="4D959A"/>
            <w:noWrap/>
          </w:tcPr>
          <w:p w14:paraId="637B647E" w14:textId="77777777" w:rsidR="002B5543" w:rsidRPr="00071CF0" w:rsidRDefault="5A182513" w:rsidP="5A182513">
            <w:pPr>
              <w:spacing w:before="0" w:after="0"/>
              <w:cnfStyle w:val="000000000000" w:firstRow="0" w:lastRow="0" w:firstColumn="0" w:lastColumn="0" w:oddVBand="0" w:evenVBand="0" w:oddHBand="0" w:evenHBand="0" w:firstRowFirstColumn="0" w:firstRowLastColumn="0" w:lastRowFirstColumn="0" w:lastRowLastColumn="0"/>
              <w:rPr>
                <w:rFonts w:eastAsiaTheme="minorEastAsia"/>
                <w:b/>
                <w:bCs/>
                <w:color w:val="000000"/>
                <w:lang w:val="en-AU"/>
              </w:rPr>
            </w:pPr>
            <w:r w:rsidRPr="5A182513">
              <w:rPr>
                <w:rFonts w:eastAsiaTheme="minorEastAsia"/>
                <w:b/>
                <w:bCs/>
                <w:color w:val="000000"/>
                <w:lang w:val="en-AU"/>
              </w:rPr>
              <w:t xml:space="preserve">Percentage of total cost </w:t>
            </w:r>
          </w:p>
        </w:tc>
      </w:tr>
      <w:tr w:rsidR="002B5543" w:rsidRPr="00071CF0" w14:paraId="663A0F37" w14:textId="77777777" w:rsidTr="0025287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245" w:type="dxa"/>
            <w:tcBorders>
              <w:top w:val="none" w:sz="0" w:space="0" w:color="auto"/>
              <w:left w:val="none" w:sz="0" w:space="0" w:color="auto"/>
              <w:bottom w:val="none" w:sz="0" w:space="0" w:color="auto"/>
            </w:tcBorders>
            <w:noWrap/>
            <w:hideMark/>
          </w:tcPr>
          <w:p w14:paraId="53B0952F" w14:textId="4AEA0B75" w:rsidR="002B5543" w:rsidRPr="00071CF0" w:rsidRDefault="002B5543" w:rsidP="5A182513">
            <w:pPr>
              <w:spacing w:before="60" w:after="60"/>
              <w:rPr>
                <w:rFonts w:eastAsiaTheme="minorEastAsia"/>
                <w:color w:val="000000"/>
                <w:lang w:val="en-AU"/>
              </w:rPr>
            </w:pPr>
            <w:r w:rsidRPr="5A182513">
              <w:rPr>
                <w:rFonts w:eastAsiaTheme="minorEastAsia"/>
                <w:color w:val="000000"/>
                <w:lang w:val="en-AU"/>
              </w:rPr>
              <w:t>Cost of equipment [</w:t>
            </w:r>
            <w:r w:rsidRPr="5A182513">
              <w:rPr>
                <w:rStyle w:val="EndnoteReference"/>
                <w:rFonts w:eastAsiaTheme="minorEastAsia"/>
                <w:lang w:val="en-AU"/>
              </w:rPr>
              <w:endnoteReference w:id="8"/>
            </w:r>
            <w:r w:rsidRPr="5A182513">
              <w:rPr>
                <w:rFonts w:eastAsiaTheme="minorEastAsia"/>
                <w:color w:val="000000"/>
                <w:lang w:val="en-AU"/>
              </w:rPr>
              <w:t xml:space="preserve">] </w:t>
            </w:r>
          </w:p>
        </w:tc>
        <w:tc>
          <w:tcPr>
            <w:tcW w:w="1843" w:type="dxa"/>
            <w:tcBorders>
              <w:top w:val="none" w:sz="0" w:space="0" w:color="auto"/>
              <w:bottom w:val="none" w:sz="0" w:space="0" w:color="auto"/>
            </w:tcBorders>
          </w:tcPr>
          <w:p w14:paraId="2277C43C" w14:textId="3AA0ED76" w:rsidR="002B5543" w:rsidRPr="00071CF0" w:rsidRDefault="5A182513" w:rsidP="5A182513">
            <w:pPr>
              <w:spacing w:before="60" w:after="6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lang w:val="en-AU"/>
              </w:rPr>
            </w:pPr>
            <w:r w:rsidRPr="5A182513">
              <w:rPr>
                <w:rFonts w:eastAsiaTheme="minorEastAsia"/>
                <w:color w:val="000000"/>
                <w:lang w:val="en-AU"/>
              </w:rPr>
              <w:t>11.9%</w:t>
            </w:r>
          </w:p>
        </w:tc>
        <w:tc>
          <w:tcPr>
            <w:tcW w:w="1701" w:type="dxa"/>
            <w:tcBorders>
              <w:top w:val="none" w:sz="0" w:space="0" w:color="auto"/>
              <w:bottom w:val="none" w:sz="0" w:space="0" w:color="auto"/>
              <w:right w:val="none" w:sz="0" w:space="0" w:color="auto"/>
            </w:tcBorders>
            <w:noWrap/>
            <w:hideMark/>
          </w:tcPr>
          <w:p w14:paraId="67B00198" w14:textId="24FC6E5F" w:rsidR="002B5543" w:rsidRPr="00071CF0" w:rsidRDefault="5A182513" w:rsidP="5A182513">
            <w:pPr>
              <w:spacing w:before="60" w:after="6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lang w:val="en-AU"/>
              </w:rPr>
            </w:pPr>
            <w:r w:rsidRPr="5A182513">
              <w:rPr>
                <w:rFonts w:eastAsiaTheme="minorEastAsia"/>
                <w:color w:val="000000"/>
                <w:lang w:val="en-AU"/>
              </w:rPr>
              <w:t>2.6%</w:t>
            </w:r>
          </w:p>
        </w:tc>
      </w:tr>
      <w:tr w:rsidR="002B5543" w:rsidRPr="00071CF0" w14:paraId="584B0677" w14:textId="77777777" w:rsidTr="00252871">
        <w:trPr>
          <w:trHeight w:val="280"/>
        </w:trPr>
        <w:tc>
          <w:tcPr>
            <w:cnfStyle w:val="001000000000" w:firstRow="0" w:lastRow="0" w:firstColumn="1" w:lastColumn="0" w:oddVBand="0" w:evenVBand="0" w:oddHBand="0" w:evenHBand="0" w:firstRowFirstColumn="0" w:firstRowLastColumn="0" w:lastRowFirstColumn="0" w:lastRowLastColumn="0"/>
            <w:tcW w:w="5245" w:type="dxa"/>
            <w:noWrap/>
            <w:hideMark/>
          </w:tcPr>
          <w:p w14:paraId="5C669981" w14:textId="77777777" w:rsidR="002B5543" w:rsidRPr="00071CF0" w:rsidRDefault="5A182513" w:rsidP="5A182513">
            <w:pPr>
              <w:spacing w:before="0" w:after="0"/>
              <w:rPr>
                <w:rFonts w:eastAsiaTheme="minorEastAsia"/>
                <w:color w:val="000000"/>
                <w:lang w:val="en-AU"/>
              </w:rPr>
            </w:pPr>
            <w:r w:rsidRPr="5A182513">
              <w:rPr>
                <w:rFonts w:eastAsiaTheme="minorEastAsia"/>
                <w:color w:val="000000"/>
                <w:lang w:val="en-AU"/>
              </w:rPr>
              <w:t xml:space="preserve">Travel expenses </w:t>
            </w:r>
          </w:p>
        </w:tc>
        <w:tc>
          <w:tcPr>
            <w:tcW w:w="1843" w:type="dxa"/>
          </w:tcPr>
          <w:p w14:paraId="316BA854" w14:textId="6FDD6A0D" w:rsidR="002B5543" w:rsidRPr="00071CF0" w:rsidRDefault="5A182513" w:rsidP="5A182513">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lang w:val="en-AU"/>
              </w:rPr>
            </w:pPr>
            <w:r w:rsidRPr="5A182513">
              <w:rPr>
                <w:rFonts w:eastAsiaTheme="minorEastAsia"/>
                <w:color w:val="000000"/>
                <w:lang w:val="en-AU"/>
              </w:rPr>
              <w:t>8.5%</w:t>
            </w:r>
          </w:p>
        </w:tc>
        <w:tc>
          <w:tcPr>
            <w:tcW w:w="1701" w:type="dxa"/>
            <w:noWrap/>
            <w:hideMark/>
          </w:tcPr>
          <w:p w14:paraId="0A256973" w14:textId="1C3A5A55" w:rsidR="002B5543" w:rsidRPr="00071CF0" w:rsidRDefault="5A182513" w:rsidP="5A182513">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lang w:val="en-AU"/>
              </w:rPr>
            </w:pPr>
            <w:r w:rsidRPr="5A182513">
              <w:rPr>
                <w:rFonts w:eastAsiaTheme="minorEastAsia"/>
                <w:color w:val="000000"/>
                <w:lang w:val="en-AU"/>
              </w:rPr>
              <w:t>1.9%</w:t>
            </w:r>
          </w:p>
        </w:tc>
      </w:tr>
      <w:tr w:rsidR="002B5543" w:rsidRPr="00071CF0" w14:paraId="2677B62D" w14:textId="77777777" w:rsidTr="0025287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245" w:type="dxa"/>
            <w:tcBorders>
              <w:top w:val="none" w:sz="0" w:space="0" w:color="auto"/>
              <w:left w:val="none" w:sz="0" w:space="0" w:color="auto"/>
              <w:bottom w:val="none" w:sz="0" w:space="0" w:color="auto"/>
            </w:tcBorders>
            <w:noWrap/>
            <w:hideMark/>
          </w:tcPr>
          <w:p w14:paraId="5143EB15" w14:textId="77777777" w:rsidR="002B5543" w:rsidRPr="00071CF0" w:rsidRDefault="5A182513" w:rsidP="5A182513">
            <w:pPr>
              <w:spacing w:before="0" w:after="0"/>
              <w:rPr>
                <w:rFonts w:eastAsiaTheme="minorEastAsia"/>
                <w:color w:val="000000"/>
                <w:lang w:val="en-AU"/>
              </w:rPr>
            </w:pPr>
            <w:r w:rsidRPr="5A182513">
              <w:rPr>
                <w:rFonts w:eastAsiaTheme="minorEastAsia"/>
                <w:color w:val="000000"/>
                <w:lang w:val="en-AU"/>
              </w:rPr>
              <w:t xml:space="preserve">Overheads </w:t>
            </w:r>
          </w:p>
          <w:p w14:paraId="359E5507" w14:textId="44397193" w:rsidR="002B5543" w:rsidRPr="002808AF" w:rsidRDefault="5A182513" w:rsidP="5A182513">
            <w:pPr>
              <w:spacing w:before="0" w:after="0"/>
              <w:rPr>
                <w:rFonts w:eastAsiaTheme="minorEastAsia"/>
                <w:b w:val="0"/>
                <w:bCs w:val="0"/>
                <w:color w:val="000000"/>
                <w:lang w:val="en-AU"/>
              </w:rPr>
            </w:pPr>
            <w:r w:rsidRPr="5A182513">
              <w:rPr>
                <w:rFonts w:eastAsiaTheme="minorEastAsia"/>
                <w:b w:val="0"/>
                <w:bCs w:val="0"/>
                <w:color w:val="000000"/>
                <w:lang w:val="en-AU"/>
              </w:rPr>
              <w:t>Including rent, HR, IT hardware and support, etc.</w:t>
            </w:r>
          </w:p>
        </w:tc>
        <w:tc>
          <w:tcPr>
            <w:tcW w:w="1843" w:type="dxa"/>
            <w:tcBorders>
              <w:top w:val="none" w:sz="0" w:space="0" w:color="auto"/>
              <w:bottom w:val="none" w:sz="0" w:space="0" w:color="auto"/>
            </w:tcBorders>
          </w:tcPr>
          <w:p w14:paraId="67CB32DE" w14:textId="1DB0D4F1" w:rsidR="002B5543" w:rsidRPr="00071CF0" w:rsidRDefault="5A182513" w:rsidP="5A182513">
            <w:pPr>
              <w:spacing w:before="0" w:after="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lang w:val="en-AU"/>
              </w:rPr>
            </w:pPr>
            <w:r w:rsidRPr="5A182513">
              <w:rPr>
                <w:rFonts w:eastAsiaTheme="minorEastAsia"/>
                <w:color w:val="000000"/>
                <w:lang w:val="en-AU"/>
              </w:rPr>
              <w:t>79.6%</w:t>
            </w:r>
          </w:p>
        </w:tc>
        <w:tc>
          <w:tcPr>
            <w:tcW w:w="1701" w:type="dxa"/>
            <w:tcBorders>
              <w:top w:val="none" w:sz="0" w:space="0" w:color="auto"/>
              <w:bottom w:val="none" w:sz="0" w:space="0" w:color="auto"/>
              <w:right w:val="none" w:sz="0" w:space="0" w:color="auto"/>
            </w:tcBorders>
            <w:noWrap/>
            <w:hideMark/>
          </w:tcPr>
          <w:p w14:paraId="796B5A64" w14:textId="43FEF5A5" w:rsidR="002B5543" w:rsidRPr="00071CF0" w:rsidRDefault="5A182513" w:rsidP="5A182513">
            <w:pPr>
              <w:spacing w:before="0" w:after="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lang w:val="en-AU"/>
              </w:rPr>
            </w:pPr>
            <w:r w:rsidRPr="5A182513">
              <w:rPr>
                <w:rFonts w:eastAsiaTheme="minorEastAsia"/>
                <w:color w:val="000000"/>
                <w:lang w:val="en-AU"/>
              </w:rPr>
              <w:t>17.4%</w:t>
            </w:r>
          </w:p>
        </w:tc>
      </w:tr>
      <w:tr w:rsidR="002B5543" w:rsidRPr="00071CF0" w14:paraId="6623E8BC" w14:textId="77777777" w:rsidTr="00252871">
        <w:trPr>
          <w:trHeight w:val="280"/>
        </w:trPr>
        <w:tc>
          <w:tcPr>
            <w:cnfStyle w:val="001000000000" w:firstRow="0" w:lastRow="0" w:firstColumn="1" w:lastColumn="0" w:oddVBand="0" w:evenVBand="0" w:oddHBand="0" w:evenHBand="0" w:firstRowFirstColumn="0" w:firstRowLastColumn="0" w:lastRowFirstColumn="0" w:lastRowLastColumn="0"/>
            <w:tcW w:w="5245" w:type="dxa"/>
            <w:noWrap/>
            <w:hideMark/>
          </w:tcPr>
          <w:p w14:paraId="59949BF6" w14:textId="470C409B" w:rsidR="002B5543" w:rsidRPr="00071CF0" w:rsidRDefault="00173142" w:rsidP="5A182513">
            <w:pPr>
              <w:spacing w:before="0" w:after="0"/>
              <w:rPr>
                <w:rFonts w:eastAsiaTheme="minorEastAsia"/>
                <w:color w:val="000000"/>
                <w:lang w:val="en-AU"/>
              </w:rPr>
            </w:pPr>
            <w:r>
              <w:rPr>
                <w:rFonts w:eastAsiaTheme="minorEastAsia"/>
                <w:color w:val="000000"/>
                <w:lang w:val="en-AU"/>
              </w:rPr>
              <w:t>Sub-total</w:t>
            </w:r>
            <w:r w:rsidR="5A182513" w:rsidRPr="5A182513">
              <w:rPr>
                <w:rFonts w:eastAsiaTheme="minorEastAsia"/>
                <w:color w:val="000000"/>
                <w:lang w:val="en-AU"/>
              </w:rPr>
              <w:t xml:space="preserve"> - Non-staff costs </w:t>
            </w:r>
          </w:p>
        </w:tc>
        <w:tc>
          <w:tcPr>
            <w:tcW w:w="1843" w:type="dxa"/>
          </w:tcPr>
          <w:p w14:paraId="0FA442D5" w14:textId="77777777" w:rsidR="002B5543" w:rsidRPr="00071CF0" w:rsidRDefault="5A182513" w:rsidP="5A182513">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lang w:val="en-AU"/>
              </w:rPr>
            </w:pPr>
            <w:r w:rsidRPr="5A182513">
              <w:rPr>
                <w:rFonts w:eastAsiaTheme="minorEastAsia"/>
                <w:b/>
                <w:bCs/>
                <w:color w:val="000000"/>
                <w:lang w:val="en-AU"/>
              </w:rPr>
              <w:t>100%</w:t>
            </w:r>
          </w:p>
        </w:tc>
        <w:tc>
          <w:tcPr>
            <w:tcW w:w="1701" w:type="dxa"/>
            <w:noWrap/>
            <w:hideMark/>
          </w:tcPr>
          <w:p w14:paraId="2BA4A392" w14:textId="1E8B4BB9" w:rsidR="002B5543" w:rsidRPr="00071CF0" w:rsidRDefault="5A182513" w:rsidP="5A182513">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b/>
                <w:bCs/>
                <w:color w:val="000000"/>
                <w:lang w:val="en-AU"/>
              </w:rPr>
            </w:pPr>
            <w:r w:rsidRPr="5A182513">
              <w:rPr>
                <w:rFonts w:eastAsiaTheme="minorEastAsia"/>
                <w:b/>
                <w:bCs/>
                <w:color w:val="000000"/>
                <w:lang w:val="en-AU"/>
              </w:rPr>
              <w:t>22%</w:t>
            </w:r>
          </w:p>
        </w:tc>
      </w:tr>
    </w:tbl>
    <w:p w14:paraId="551EE3DF" w14:textId="354D3DF4" w:rsidR="002B5543" w:rsidRDefault="002B5543" w:rsidP="00657754">
      <w:pPr>
        <w:pStyle w:val="Heading3"/>
      </w:pPr>
      <w:r w:rsidRPr="00542C0D">
        <w:t>Identifying outcomes of</w:t>
      </w:r>
      <w:r>
        <w:t xml:space="preserve"> vision rehabilitation</w:t>
      </w:r>
    </w:p>
    <w:p w14:paraId="48F678E4" w14:textId="29FE89E6" w:rsidR="002B5543" w:rsidRDefault="002B5543" w:rsidP="008F78C3">
      <w:pPr>
        <w:rPr>
          <w:lang w:eastAsia="en-GB"/>
        </w:rPr>
      </w:pPr>
      <w:r>
        <w:rPr>
          <w:lang w:eastAsia="en-GB"/>
        </w:rPr>
        <w:t xml:space="preserve">We identified four key areas of impact for vision rehabilitation clients and one area of impact for the family and informal carers of service users. These encompass improvements in relation to: </w:t>
      </w:r>
    </w:p>
    <w:p w14:paraId="3288A00A" w14:textId="77777777" w:rsidR="002B5543" w:rsidRDefault="002B5543" w:rsidP="00361C02">
      <w:pPr>
        <w:pStyle w:val="ListParagraph"/>
        <w:numPr>
          <w:ilvl w:val="0"/>
          <w:numId w:val="15"/>
        </w:numPr>
        <w:rPr>
          <w:lang w:eastAsia="en-GB"/>
        </w:rPr>
      </w:pPr>
      <w:r>
        <w:rPr>
          <w:lang w:eastAsia="en-GB"/>
        </w:rPr>
        <w:t xml:space="preserve">Functional independence </w:t>
      </w:r>
    </w:p>
    <w:p w14:paraId="3E7077F9" w14:textId="77777777" w:rsidR="002B5543" w:rsidRDefault="002B5543" w:rsidP="00361C02">
      <w:pPr>
        <w:pStyle w:val="ListParagraph"/>
        <w:numPr>
          <w:ilvl w:val="0"/>
          <w:numId w:val="15"/>
        </w:numPr>
        <w:rPr>
          <w:lang w:eastAsia="en-GB"/>
        </w:rPr>
      </w:pPr>
      <w:r>
        <w:rPr>
          <w:lang w:eastAsia="en-GB"/>
        </w:rPr>
        <w:t xml:space="preserve">Personal safety </w:t>
      </w:r>
    </w:p>
    <w:p w14:paraId="7BB76B36" w14:textId="06F2581D" w:rsidR="002B5543" w:rsidRDefault="002B5543" w:rsidP="00361C02">
      <w:pPr>
        <w:pStyle w:val="ListParagraph"/>
        <w:numPr>
          <w:ilvl w:val="0"/>
          <w:numId w:val="15"/>
        </w:numPr>
        <w:rPr>
          <w:lang w:eastAsia="en-GB"/>
        </w:rPr>
      </w:pPr>
      <w:r>
        <w:rPr>
          <w:lang w:eastAsia="en-GB"/>
        </w:rPr>
        <w:t xml:space="preserve">Emotional wellbeing </w:t>
      </w:r>
    </w:p>
    <w:p w14:paraId="4698FC10" w14:textId="61C5A094" w:rsidR="002B5543" w:rsidRDefault="002B5543" w:rsidP="00361C02">
      <w:pPr>
        <w:pStyle w:val="ListParagraph"/>
        <w:numPr>
          <w:ilvl w:val="0"/>
          <w:numId w:val="15"/>
        </w:numPr>
        <w:rPr>
          <w:lang w:eastAsia="en-GB"/>
        </w:rPr>
      </w:pPr>
      <w:r>
        <w:rPr>
          <w:lang w:eastAsia="en-GB"/>
        </w:rPr>
        <w:t xml:space="preserve">Social participation </w:t>
      </w:r>
    </w:p>
    <w:p w14:paraId="65817F8B" w14:textId="77777777" w:rsidR="002B5543" w:rsidRDefault="002B5543" w:rsidP="00361C02">
      <w:pPr>
        <w:pStyle w:val="ListParagraph"/>
        <w:numPr>
          <w:ilvl w:val="0"/>
          <w:numId w:val="15"/>
        </w:numPr>
        <w:rPr>
          <w:lang w:eastAsia="en-GB"/>
        </w:rPr>
      </w:pPr>
      <w:r>
        <w:rPr>
          <w:lang w:eastAsia="en-GB"/>
        </w:rPr>
        <w:t>Outcomes for families and informal carers related to reduced anxiety and burden of informal care</w:t>
      </w:r>
    </w:p>
    <w:p w14:paraId="6D577AE6" w14:textId="77777777" w:rsidR="002B5543" w:rsidRDefault="002B5543" w:rsidP="008F78C3">
      <w:pPr>
        <w:rPr>
          <w:lang w:eastAsia="en-GB"/>
        </w:rPr>
      </w:pPr>
    </w:p>
    <w:p w14:paraId="0BC5DB13" w14:textId="0C9FE66C" w:rsidR="002B5543" w:rsidRPr="002D7139" w:rsidRDefault="002B5543" w:rsidP="002D7139">
      <w:pPr>
        <w:rPr>
          <w:lang w:eastAsia="en-GB"/>
        </w:rPr>
      </w:pPr>
      <w:r>
        <w:rPr>
          <w:lang w:eastAsia="en-GB"/>
        </w:rPr>
        <w:t xml:space="preserve">Together, these five areas of impact encompass 16 specific direct outcomes that occur as a result of vision rehabilitation interventions. The impact areas and 16 specific outcomes are summarised in the diagram below and laid out in full in Section 4 of the main report.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99"/>
      </w:tblGrid>
      <w:tr w:rsidR="002B5543" w14:paraId="4AB6A615" w14:textId="77777777" w:rsidTr="00252871">
        <w:tc>
          <w:tcPr>
            <w:tcW w:w="2263" w:type="dxa"/>
          </w:tcPr>
          <w:p w14:paraId="0B89FEB3" w14:textId="75534DEC" w:rsidR="002B5543" w:rsidRDefault="002B5543" w:rsidP="008F78C3">
            <w:pPr>
              <w:rPr>
                <w:lang w:eastAsia="en-GB"/>
              </w:rPr>
            </w:pPr>
            <w:r>
              <w:rPr>
                <w:lang w:eastAsia="en-GB"/>
              </w:rPr>
              <w:t>Functional independence</w:t>
            </w:r>
          </w:p>
        </w:tc>
        <w:tc>
          <w:tcPr>
            <w:tcW w:w="6799" w:type="dxa"/>
          </w:tcPr>
          <w:p w14:paraId="15EE0700" w14:textId="77777777" w:rsidR="002B5543" w:rsidRPr="004B2718" w:rsidRDefault="002B5543" w:rsidP="00361C02">
            <w:pPr>
              <w:numPr>
                <w:ilvl w:val="0"/>
                <w:numId w:val="19"/>
              </w:numPr>
              <w:spacing w:before="0" w:after="0"/>
              <w:contextualSpacing/>
              <w:rPr>
                <w:rFonts w:asciiTheme="minorHAnsi" w:eastAsia="Times New Roman" w:hAnsiTheme="minorHAnsi"/>
                <w:lang w:eastAsia="en-GB"/>
              </w:rPr>
            </w:pPr>
            <w:r w:rsidRPr="022DA057">
              <w:rPr>
                <w:rFonts w:asciiTheme="minorHAnsi" w:eastAsia="Times New Roman" w:hAnsiTheme="minorHAnsi"/>
                <w:color w:val="000000"/>
                <w:lang w:val="en-US" w:eastAsia="en-GB"/>
              </w:rPr>
              <w:t>Mobility &amp; travel</w:t>
            </w:r>
          </w:p>
          <w:p w14:paraId="678F484A" w14:textId="77777777" w:rsidR="002B5543" w:rsidRPr="004B2718" w:rsidRDefault="002B5543" w:rsidP="00361C02">
            <w:pPr>
              <w:numPr>
                <w:ilvl w:val="0"/>
                <w:numId w:val="19"/>
              </w:numPr>
              <w:spacing w:before="0" w:after="0"/>
              <w:contextualSpacing/>
              <w:rPr>
                <w:rFonts w:asciiTheme="minorHAnsi" w:eastAsia="Times New Roman" w:hAnsiTheme="minorHAnsi"/>
                <w:lang w:eastAsia="en-GB"/>
              </w:rPr>
            </w:pPr>
            <w:r w:rsidRPr="022DA057">
              <w:rPr>
                <w:rFonts w:asciiTheme="minorHAnsi" w:eastAsia="Times New Roman" w:hAnsiTheme="minorHAnsi"/>
                <w:color w:val="000000"/>
                <w:lang w:val="en-US" w:eastAsia="en-GB"/>
              </w:rPr>
              <w:t xml:space="preserve"> Daily living</w:t>
            </w:r>
          </w:p>
          <w:p w14:paraId="7ED52F0C" w14:textId="77777777" w:rsidR="002B5543" w:rsidRPr="004B2718" w:rsidRDefault="002B5543" w:rsidP="00361C02">
            <w:pPr>
              <w:numPr>
                <w:ilvl w:val="0"/>
                <w:numId w:val="19"/>
              </w:numPr>
              <w:spacing w:before="0" w:after="0"/>
              <w:contextualSpacing/>
              <w:rPr>
                <w:rFonts w:asciiTheme="minorHAnsi" w:eastAsia="Times New Roman" w:hAnsiTheme="minorHAnsi"/>
                <w:lang w:eastAsia="en-GB"/>
              </w:rPr>
            </w:pPr>
            <w:r w:rsidRPr="022DA057">
              <w:rPr>
                <w:rFonts w:asciiTheme="minorHAnsi" w:eastAsia="Times New Roman" w:hAnsiTheme="minorHAnsi"/>
                <w:color w:val="000000"/>
                <w:lang w:val="en-US" w:eastAsia="en-GB"/>
              </w:rPr>
              <w:t>Less reliance on family/carer</w:t>
            </w:r>
          </w:p>
          <w:p w14:paraId="47FCDCFD" w14:textId="77777777" w:rsidR="002B5543" w:rsidRPr="00FA21B0" w:rsidRDefault="002B5543" w:rsidP="00B5717C">
            <w:pPr>
              <w:spacing w:before="0" w:after="0"/>
              <w:ind w:left="360"/>
              <w:contextualSpacing/>
              <w:rPr>
                <w:rFonts w:asciiTheme="minorHAnsi" w:hAnsiTheme="minorHAnsi" w:cstheme="minorHAnsi"/>
                <w:szCs w:val="28"/>
                <w:lang w:eastAsia="en-GB"/>
              </w:rPr>
            </w:pPr>
          </w:p>
        </w:tc>
      </w:tr>
      <w:tr w:rsidR="002B5543" w14:paraId="36D84032" w14:textId="77777777" w:rsidTr="00252871">
        <w:tc>
          <w:tcPr>
            <w:tcW w:w="2263" w:type="dxa"/>
          </w:tcPr>
          <w:p w14:paraId="5C0E5B1A" w14:textId="724CC96B" w:rsidR="002B5543" w:rsidRDefault="002B5543" w:rsidP="008F78C3">
            <w:pPr>
              <w:rPr>
                <w:lang w:eastAsia="en-GB"/>
              </w:rPr>
            </w:pPr>
            <w:r>
              <w:rPr>
                <w:lang w:eastAsia="en-GB"/>
              </w:rPr>
              <w:t>Personal safety</w:t>
            </w:r>
          </w:p>
        </w:tc>
        <w:tc>
          <w:tcPr>
            <w:tcW w:w="6799" w:type="dxa"/>
          </w:tcPr>
          <w:p w14:paraId="38DA1FAF" w14:textId="77777777" w:rsidR="002B5543" w:rsidRPr="00C66DEB" w:rsidRDefault="002B5543" w:rsidP="00361C02">
            <w:pPr>
              <w:numPr>
                <w:ilvl w:val="0"/>
                <w:numId w:val="19"/>
              </w:numPr>
              <w:spacing w:before="0" w:after="0"/>
              <w:contextualSpacing/>
              <w:rPr>
                <w:rFonts w:asciiTheme="minorHAnsi" w:eastAsia="Times New Roman" w:hAnsiTheme="minorHAnsi"/>
                <w:lang w:eastAsia="en-GB"/>
              </w:rPr>
            </w:pPr>
            <w:r w:rsidRPr="022DA057">
              <w:rPr>
                <w:rFonts w:asciiTheme="minorHAnsi" w:eastAsia="Times New Roman" w:hAnsiTheme="minorHAnsi"/>
                <w:color w:val="000000"/>
                <w:lang w:val="en-US" w:eastAsia="en-GB"/>
              </w:rPr>
              <w:t>Fewer:</w:t>
            </w:r>
          </w:p>
          <w:p w14:paraId="22FE415C" w14:textId="77777777" w:rsidR="002B5543" w:rsidRPr="00C66DEB" w:rsidRDefault="002B5543" w:rsidP="00361C02">
            <w:pPr>
              <w:numPr>
                <w:ilvl w:val="0"/>
                <w:numId w:val="19"/>
              </w:numPr>
              <w:spacing w:before="0" w:after="0"/>
              <w:contextualSpacing/>
              <w:rPr>
                <w:rFonts w:asciiTheme="minorHAnsi" w:eastAsia="Times New Roman" w:hAnsiTheme="minorHAnsi"/>
                <w:lang w:eastAsia="en-GB"/>
              </w:rPr>
            </w:pPr>
            <w:r w:rsidRPr="022DA057">
              <w:rPr>
                <w:rFonts w:asciiTheme="minorHAnsi" w:eastAsia="Times New Roman" w:hAnsiTheme="minorHAnsi"/>
                <w:color w:val="000000"/>
                <w:lang w:val="en-US" w:eastAsia="en-GB"/>
              </w:rPr>
              <w:t>Accidents</w:t>
            </w:r>
          </w:p>
          <w:p w14:paraId="0F1E3686" w14:textId="77777777" w:rsidR="002B5543" w:rsidRPr="00C66DEB" w:rsidRDefault="002B5543" w:rsidP="00361C02">
            <w:pPr>
              <w:numPr>
                <w:ilvl w:val="0"/>
                <w:numId w:val="19"/>
              </w:numPr>
              <w:spacing w:before="0" w:after="0"/>
              <w:contextualSpacing/>
              <w:rPr>
                <w:rFonts w:asciiTheme="minorHAnsi" w:eastAsia="Times New Roman" w:hAnsiTheme="minorHAnsi"/>
                <w:lang w:eastAsia="en-GB"/>
              </w:rPr>
            </w:pPr>
            <w:r w:rsidRPr="022DA057">
              <w:rPr>
                <w:rFonts w:asciiTheme="minorHAnsi" w:eastAsia="Times New Roman" w:hAnsiTheme="minorHAnsi"/>
                <w:color w:val="000000"/>
                <w:lang w:val="en-US" w:eastAsia="en-GB"/>
              </w:rPr>
              <w:t>A&amp;E visits</w:t>
            </w:r>
          </w:p>
          <w:p w14:paraId="151E6CD4" w14:textId="77777777" w:rsidR="002B5543" w:rsidRPr="00C66DEB" w:rsidRDefault="002B5543" w:rsidP="00361C02">
            <w:pPr>
              <w:numPr>
                <w:ilvl w:val="0"/>
                <w:numId w:val="19"/>
              </w:numPr>
              <w:spacing w:before="0" w:after="0"/>
              <w:contextualSpacing/>
              <w:rPr>
                <w:rFonts w:asciiTheme="minorHAnsi" w:eastAsia="Times New Roman" w:hAnsiTheme="minorHAnsi"/>
                <w:lang w:eastAsia="en-GB"/>
              </w:rPr>
            </w:pPr>
            <w:r w:rsidRPr="022DA057">
              <w:rPr>
                <w:rFonts w:asciiTheme="minorHAnsi" w:eastAsia="Times New Roman" w:hAnsiTheme="minorHAnsi"/>
                <w:color w:val="000000"/>
                <w:lang w:val="en-US" w:eastAsia="en-GB"/>
              </w:rPr>
              <w:t>GP appointments</w:t>
            </w:r>
          </w:p>
          <w:p w14:paraId="042C6BC8" w14:textId="77777777" w:rsidR="002B5543" w:rsidRPr="00FA21B0" w:rsidRDefault="002B5543" w:rsidP="00361C02">
            <w:pPr>
              <w:numPr>
                <w:ilvl w:val="0"/>
                <w:numId w:val="19"/>
              </w:numPr>
              <w:spacing w:before="0" w:after="0"/>
              <w:contextualSpacing/>
              <w:rPr>
                <w:rFonts w:asciiTheme="minorHAnsi" w:hAnsiTheme="minorHAnsi"/>
                <w:lang w:eastAsia="en-GB"/>
              </w:rPr>
            </w:pPr>
            <w:r w:rsidRPr="022DA057">
              <w:rPr>
                <w:rFonts w:asciiTheme="minorHAnsi" w:eastAsia="Times New Roman" w:hAnsiTheme="minorHAnsi"/>
                <w:color w:val="000000"/>
                <w:lang w:val="en-US" w:eastAsia="en-GB"/>
              </w:rPr>
              <w:t>Hospital stays</w:t>
            </w:r>
          </w:p>
          <w:p w14:paraId="2DC9EEBB" w14:textId="5C56ACB4" w:rsidR="002B5543" w:rsidRPr="00FA21B0" w:rsidRDefault="002B5543" w:rsidP="00FA21B0">
            <w:pPr>
              <w:spacing w:before="0" w:after="0"/>
              <w:ind w:left="360"/>
              <w:contextualSpacing/>
              <w:rPr>
                <w:rFonts w:asciiTheme="minorHAnsi" w:hAnsiTheme="minorHAnsi" w:cstheme="minorHAnsi"/>
                <w:szCs w:val="28"/>
                <w:lang w:eastAsia="en-GB"/>
              </w:rPr>
            </w:pPr>
          </w:p>
        </w:tc>
      </w:tr>
      <w:tr w:rsidR="002B5543" w14:paraId="2FC15E12" w14:textId="77777777" w:rsidTr="00252871">
        <w:tc>
          <w:tcPr>
            <w:tcW w:w="2263" w:type="dxa"/>
          </w:tcPr>
          <w:p w14:paraId="212383D9" w14:textId="4FD59EE2" w:rsidR="002B5543" w:rsidRDefault="002B5543" w:rsidP="008F78C3">
            <w:pPr>
              <w:rPr>
                <w:lang w:eastAsia="en-GB"/>
              </w:rPr>
            </w:pPr>
            <w:r>
              <w:rPr>
                <w:lang w:eastAsia="en-GB"/>
              </w:rPr>
              <w:t>Emotional Wellbeing</w:t>
            </w:r>
          </w:p>
        </w:tc>
        <w:tc>
          <w:tcPr>
            <w:tcW w:w="6799" w:type="dxa"/>
          </w:tcPr>
          <w:p w14:paraId="23392988" w14:textId="77777777" w:rsidR="002B5543" w:rsidRPr="00C66DEB" w:rsidRDefault="002B5543" w:rsidP="00361C02">
            <w:pPr>
              <w:numPr>
                <w:ilvl w:val="0"/>
                <w:numId w:val="19"/>
              </w:numPr>
              <w:spacing w:before="0" w:after="0"/>
              <w:contextualSpacing/>
              <w:rPr>
                <w:rFonts w:asciiTheme="minorHAnsi" w:eastAsia="Times New Roman" w:hAnsiTheme="minorHAnsi"/>
                <w:lang w:eastAsia="en-GB"/>
              </w:rPr>
            </w:pPr>
            <w:r w:rsidRPr="022DA057">
              <w:rPr>
                <w:rFonts w:asciiTheme="minorHAnsi" w:eastAsia="Times New Roman" w:hAnsiTheme="minorHAnsi"/>
                <w:color w:val="000000"/>
                <w:lang w:val="en-US" w:eastAsia="en-GB"/>
              </w:rPr>
              <w:t>Confidence</w:t>
            </w:r>
          </w:p>
          <w:p w14:paraId="62FB1DD9" w14:textId="77777777" w:rsidR="002B5543" w:rsidRPr="00C66DEB" w:rsidRDefault="002B5543" w:rsidP="00361C02">
            <w:pPr>
              <w:numPr>
                <w:ilvl w:val="0"/>
                <w:numId w:val="19"/>
              </w:numPr>
              <w:spacing w:before="0" w:after="0"/>
              <w:contextualSpacing/>
              <w:rPr>
                <w:rFonts w:asciiTheme="minorHAnsi" w:eastAsia="Times New Roman" w:hAnsiTheme="minorHAnsi"/>
                <w:lang w:eastAsia="en-GB"/>
              </w:rPr>
            </w:pPr>
            <w:r w:rsidRPr="022DA057">
              <w:rPr>
                <w:rFonts w:asciiTheme="minorHAnsi" w:eastAsia="Times New Roman" w:hAnsiTheme="minorHAnsi"/>
                <w:color w:val="000000"/>
                <w:lang w:val="en-US" w:eastAsia="en-GB"/>
              </w:rPr>
              <w:t>Acceptance</w:t>
            </w:r>
          </w:p>
          <w:p w14:paraId="56B4E6B2" w14:textId="77777777" w:rsidR="002B5543" w:rsidRPr="00C66DEB" w:rsidRDefault="002B5543" w:rsidP="00361C02">
            <w:pPr>
              <w:numPr>
                <w:ilvl w:val="0"/>
                <w:numId w:val="19"/>
              </w:numPr>
              <w:spacing w:before="0" w:after="0"/>
              <w:contextualSpacing/>
              <w:rPr>
                <w:rFonts w:asciiTheme="minorHAnsi" w:eastAsia="Times New Roman" w:hAnsiTheme="minorHAnsi"/>
                <w:lang w:eastAsia="en-GB"/>
              </w:rPr>
            </w:pPr>
            <w:r w:rsidRPr="022DA057">
              <w:rPr>
                <w:rFonts w:asciiTheme="minorHAnsi" w:eastAsia="Times New Roman" w:hAnsiTheme="minorHAnsi"/>
                <w:color w:val="000000"/>
                <w:lang w:val="en-US" w:eastAsia="en-GB"/>
              </w:rPr>
              <w:t>Feeling safer</w:t>
            </w:r>
          </w:p>
          <w:p w14:paraId="378697D3" w14:textId="77777777" w:rsidR="002B5543" w:rsidRPr="00FA21B0" w:rsidRDefault="002B5543" w:rsidP="00361C02">
            <w:pPr>
              <w:numPr>
                <w:ilvl w:val="0"/>
                <w:numId w:val="19"/>
              </w:numPr>
              <w:spacing w:before="0" w:after="0"/>
              <w:contextualSpacing/>
              <w:rPr>
                <w:rFonts w:asciiTheme="minorHAnsi" w:hAnsiTheme="minorHAnsi"/>
                <w:lang w:eastAsia="en-GB"/>
              </w:rPr>
            </w:pPr>
            <w:r w:rsidRPr="022DA057">
              <w:rPr>
                <w:rFonts w:asciiTheme="minorHAnsi" w:eastAsia="Times New Roman" w:hAnsiTheme="minorHAnsi"/>
                <w:color w:val="000000"/>
                <w:lang w:val="en-US" w:eastAsia="en-GB"/>
              </w:rPr>
              <w:t>Enjoyment</w:t>
            </w:r>
          </w:p>
          <w:p w14:paraId="6A85F2D2" w14:textId="285DF4D7" w:rsidR="002B5543" w:rsidRPr="00FA21B0" w:rsidRDefault="002B5543" w:rsidP="00FA21B0">
            <w:pPr>
              <w:spacing w:before="0" w:after="0"/>
              <w:ind w:left="360"/>
              <w:contextualSpacing/>
              <w:rPr>
                <w:rFonts w:asciiTheme="minorHAnsi" w:hAnsiTheme="minorHAnsi" w:cstheme="minorHAnsi"/>
                <w:szCs w:val="28"/>
                <w:lang w:eastAsia="en-GB"/>
              </w:rPr>
            </w:pPr>
          </w:p>
        </w:tc>
      </w:tr>
      <w:tr w:rsidR="002B5543" w14:paraId="2D2A1C19" w14:textId="77777777" w:rsidTr="00252871">
        <w:tc>
          <w:tcPr>
            <w:tcW w:w="2263" w:type="dxa"/>
          </w:tcPr>
          <w:p w14:paraId="2842B514" w14:textId="083F7B34" w:rsidR="002B5543" w:rsidRDefault="002B5543" w:rsidP="008F78C3">
            <w:pPr>
              <w:rPr>
                <w:lang w:eastAsia="en-GB"/>
              </w:rPr>
            </w:pPr>
            <w:r>
              <w:rPr>
                <w:lang w:eastAsia="en-GB"/>
              </w:rPr>
              <w:t>Social participation</w:t>
            </w:r>
          </w:p>
        </w:tc>
        <w:tc>
          <w:tcPr>
            <w:tcW w:w="6799" w:type="dxa"/>
          </w:tcPr>
          <w:p w14:paraId="43AB9C90" w14:textId="77777777" w:rsidR="002B5543" w:rsidRPr="00C66DEB" w:rsidRDefault="002B5543" w:rsidP="00361C02">
            <w:pPr>
              <w:numPr>
                <w:ilvl w:val="0"/>
                <w:numId w:val="19"/>
              </w:numPr>
              <w:spacing w:before="0" w:after="0"/>
              <w:contextualSpacing/>
              <w:rPr>
                <w:rFonts w:asciiTheme="minorHAnsi" w:eastAsia="Times New Roman" w:hAnsiTheme="minorHAnsi"/>
                <w:lang w:eastAsia="en-GB"/>
              </w:rPr>
            </w:pPr>
            <w:r w:rsidRPr="022DA057">
              <w:rPr>
                <w:rFonts w:asciiTheme="minorHAnsi" w:eastAsia="Times New Roman" w:hAnsiTheme="minorHAnsi"/>
                <w:color w:val="000000"/>
                <w:lang w:val="en-US" w:eastAsia="en-GB"/>
              </w:rPr>
              <w:t xml:space="preserve">Community </w:t>
            </w:r>
          </w:p>
          <w:p w14:paraId="22298042" w14:textId="52E521D5" w:rsidR="002B5543" w:rsidRPr="00FA21B0" w:rsidRDefault="002B5543" w:rsidP="00361C02">
            <w:pPr>
              <w:numPr>
                <w:ilvl w:val="0"/>
                <w:numId w:val="19"/>
              </w:numPr>
              <w:spacing w:before="0" w:after="0"/>
              <w:contextualSpacing/>
              <w:rPr>
                <w:rFonts w:asciiTheme="minorHAnsi" w:hAnsiTheme="minorHAnsi"/>
                <w:lang w:eastAsia="en-GB"/>
              </w:rPr>
            </w:pPr>
            <w:r w:rsidRPr="022DA057">
              <w:rPr>
                <w:rFonts w:asciiTheme="minorHAnsi" w:eastAsia="Times New Roman" w:hAnsiTheme="minorHAnsi"/>
                <w:color w:val="000000"/>
                <w:lang w:val="en-US" w:eastAsia="en-GB"/>
              </w:rPr>
              <w:t>Communications</w:t>
            </w:r>
          </w:p>
        </w:tc>
      </w:tr>
      <w:tr w:rsidR="002B5543" w14:paraId="2B69BD70" w14:textId="77777777" w:rsidTr="00252871">
        <w:tc>
          <w:tcPr>
            <w:tcW w:w="2263" w:type="dxa"/>
          </w:tcPr>
          <w:p w14:paraId="4384C6CB" w14:textId="0D7191D4" w:rsidR="002B5543" w:rsidRDefault="002B5543" w:rsidP="008F78C3">
            <w:pPr>
              <w:rPr>
                <w:lang w:eastAsia="en-GB"/>
              </w:rPr>
            </w:pPr>
            <w:r>
              <w:rPr>
                <w:lang w:eastAsia="en-GB"/>
              </w:rPr>
              <w:t>For family and informal carers</w:t>
            </w:r>
          </w:p>
        </w:tc>
        <w:tc>
          <w:tcPr>
            <w:tcW w:w="6799" w:type="dxa"/>
          </w:tcPr>
          <w:p w14:paraId="1A5C1680" w14:textId="77777777" w:rsidR="002B5543" w:rsidRPr="00FA21B0" w:rsidRDefault="002B5543" w:rsidP="00361C02">
            <w:pPr>
              <w:pStyle w:val="ListParagraph"/>
              <w:numPr>
                <w:ilvl w:val="0"/>
                <w:numId w:val="19"/>
              </w:numPr>
              <w:spacing w:before="0" w:after="0"/>
              <w:ind w:right="0"/>
              <w:contextualSpacing/>
              <w:rPr>
                <w:rFonts w:asciiTheme="minorHAnsi" w:eastAsia="Times New Roman" w:hAnsiTheme="minorHAnsi"/>
              </w:rPr>
            </w:pPr>
            <w:r w:rsidRPr="022DA057">
              <w:rPr>
                <w:rFonts w:asciiTheme="minorHAnsi" w:hAnsiTheme="minorHAnsi"/>
                <w:kern w:val="24"/>
                <w:lang w:val="en-AU"/>
              </w:rPr>
              <w:t>Reduced burden of informal care</w:t>
            </w:r>
          </w:p>
          <w:p w14:paraId="59D7EFDC" w14:textId="77777777" w:rsidR="002B5543" w:rsidRPr="00FA21B0" w:rsidRDefault="002B5543" w:rsidP="00361C02">
            <w:pPr>
              <w:pStyle w:val="ListParagraph"/>
              <w:numPr>
                <w:ilvl w:val="0"/>
                <w:numId w:val="19"/>
              </w:numPr>
              <w:spacing w:before="0" w:after="0"/>
              <w:ind w:right="0"/>
              <w:contextualSpacing/>
              <w:rPr>
                <w:rFonts w:asciiTheme="minorHAnsi" w:eastAsia="Times New Roman" w:hAnsiTheme="minorHAnsi"/>
              </w:rPr>
            </w:pPr>
            <w:r w:rsidRPr="022DA057">
              <w:rPr>
                <w:rFonts w:asciiTheme="minorHAnsi" w:hAnsiTheme="minorHAnsi"/>
                <w:kern w:val="24"/>
                <w:lang w:val="en-AU"/>
              </w:rPr>
              <w:t>Increased confidence service user has support</w:t>
            </w:r>
          </w:p>
          <w:p w14:paraId="4C19B013" w14:textId="77777777" w:rsidR="002B5543" w:rsidRPr="00FA21B0" w:rsidRDefault="002B5543" w:rsidP="00361C02">
            <w:pPr>
              <w:pStyle w:val="ListParagraph"/>
              <w:numPr>
                <w:ilvl w:val="0"/>
                <w:numId w:val="19"/>
              </w:numPr>
              <w:spacing w:before="0" w:after="0"/>
              <w:ind w:right="0"/>
              <w:contextualSpacing/>
              <w:rPr>
                <w:rFonts w:asciiTheme="minorHAnsi" w:eastAsia="Times New Roman" w:hAnsiTheme="minorHAnsi"/>
              </w:rPr>
            </w:pPr>
            <w:r w:rsidRPr="022DA057">
              <w:rPr>
                <w:rFonts w:asciiTheme="minorHAnsi" w:hAnsiTheme="minorHAnsi"/>
                <w:kern w:val="24"/>
                <w:lang w:val="en-AU"/>
              </w:rPr>
              <w:t>Decreased feelings of worry/anxiety</w:t>
            </w:r>
          </w:p>
          <w:p w14:paraId="57CB402C" w14:textId="4A441936" w:rsidR="002B5543" w:rsidRPr="00FA21B0" w:rsidRDefault="002B5543" w:rsidP="00B5717C">
            <w:pPr>
              <w:pStyle w:val="ListParagraph"/>
              <w:spacing w:before="0" w:after="0"/>
              <w:ind w:left="360" w:right="0"/>
              <w:contextualSpacing/>
              <w:rPr>
                <w:rFonts w:asciiTheme="minorHAnsi" w:hAnsiTheme="minorHAnsi" w:cstheme="minorHAnsi"/>
                <w:szCs w:val="28"/>
                <w:lang w:eastAsia="en-GB"/>
              </w:rPr>
            </w:pPr>
          </w:p>
        </w:tc>
      </w:tr>
    </w:tbl>
    <w:p w14:paraId="07A1C720" w14:textId="77777777" w:rsidR="002B5543" w:rsidRDefault="002B5543" w:rsidP="008F78C3">
      <w:pPr>
        <w:rPr>
          <w:lang w:eastAsia="en-GB"/>
        </w:rPr>
      </w:pPr>
    </w:p>
    <w:p w14:paraId="4203F306" w14:textId="07E58FE6" w:rsidR="002B5543" w:rsidRDefault="002B5543" w:rsidP="00F94E34">
      <w:pPr>
        <w:rPr>
          <w:lang w:eastAsia="en-GB"/>
        </w:rPr>
      </w:pPr>
      <w:r>
        <w:rPr>
          <w:lang w:eastAsia="en-GB"/>
        </w:rPr>
        <w:t>T</w:t>
      </w:r>
      <w:r w:rsidRPr="004807B3">
        <w:rPr>
          <w:lang w:eastAsia="en-GB"/>
        </w:rPr>
        <w:t xml:space="preserve">he above </w:t>
      </w:r>
      <w:r>
        <w:rPr>
          <w:lang w:eastAsia="en-GB"/>
        </w:rPr>
        <w:t>impact areas</w:t>
      </w:r>
      <w:r w:rsidRPr="004807B3">
        <w:rPr>
          <w:lang w:eastAsia="en-GB"/>
        </w:rPr>
        <w:t xml:space="preserve"> </w:t>
      </w:r>
      <w:r>
        <w:rPr>
          <w:lang w:eastAsia="en-GB"/>
        </w:rPr>
        <w:t>were</w:t>
      </w:r>
      <w:r w:rsidRPr="004807B3">
        <w:rPr>
          <w:lang w:eastAsia="en-GB"/>
        </w:rPr>
        <w:t xml:space="preserve"> uncovered through primary research with Sight for Surrey professionals and service </w:t>
      </w:r>
      <w:r>
        <w:rPr>
          <w:lang w:eastAsia="en-GB"/>
        </w:rPr>
        <w:t>users. However, wider evidence suggest</w:t>
      </w:r>
      <w:r w:rsidRPr="004807B3">
        <w:rPr>
          <w:lang w:eastAsia="en-GB"/>
        </w:rPr>
        <w:t xml:space="preserve">s that these types of outcomes </w:t>
      </w:r>
      <w:r>
        <w:rPr>
          <w:lang w:eastAsia="en-GB"/>
        </w:rPr>
        <w:t>are likely to be</w:t>
      </w:r>
      <w:r w:rsidRPr="004807B3">
        <w:rPr>
          <w:lang w:eastAsia="en-GB"/>
        </w:rPr>
        <w:t xml:space="preserve"> common for vision rehabilitation services more generally. In particular, Rabiee et al</w:t>
      </w:r>
      <w:r>
        <w:rPr>
          <w:lang w:eastAsia="en-GB"/>
        </w:rPr>
        <w:t xml:space="preserve"> [</w:t>
      </w:r>
      <w:r w:rsidRPr="00D37B69">
        <w:rPr>
          <w:rStyle w:val="EndnoteReference"/>
        </w:rPr>
        <w:endnoteReference w:id="9"/>
      </w:r>
      <w:r>
        <w:rPr>
          <w:lang w:eastAsia="en-GB"/>
        </w:rPr>
        <w:t>]</w:t>
      </w:r>
      <w:r w:rsidRPr="00D37B69">
        <w:rPr>
          <w:rStyle w:val="EndnoteReference"/>
        </w:rPr>
        <w:t xml:space="preserve"> </w:t>
      </w:r>
      <w:r w:rsidRPr="004807B3">
        <w:rPr>
          <w:lang w:eastAsia="en-GB"/>
        </w:rPr>
        <w:t>collate</w:t>
      </w:r>
      <w:r>
        <w:rPr>
          <w:lang w:eastAsia="en-GB"/>
        </w:rPr>
        <w:t>d</w:t>
      </w:r>
      <w:r w:rsidRPr="004807B3">
        <w:rPr>
          <w:lang w:eastAsia="en-GB"/>
        </w:rPr>
        <w:t xml:space="preserve"> evidence from a numbe</w:t>
      </w:r>
      <w:r>
        <w:rPr>
          <w:lang w:eastAsia="en-GB"/>
        </w:rPr>
        <w:t>r of US-</w:t>
      </w:r>
      <w:r w:rsidRPr="004807B3">
        <w:rPr>
          <w:lang w:eastAsia="en-GB"/>
        </w:rPr>
        <w:t xml:space="preserve">based studies </w:t>
      </w:r>
      <w:r>
        <w:rPr>
          <w:lang w:eastAsia="en-GB"/>
        </w:rPr>
        <w:t>to find</w:t>
      </w:r>
      <w:r w:rsidRPr="004807B3">
        <w:rPr>
          <w:lang w:eastAsia="en-GB"/>
        </w:rPr>
        <w:t xml:space="preserve"> that the two most prominent areas in which vision rehabilitation services are effective are: helping clients to accomplish daily tasks and to adjust emotionally to vision loss. </w:t>
      </w:r>
    </w:p>
    <w:p w14:paraId="6990F245" w14:textId="77777777" w:rsidR="002B5543" w:rsidRDefault="002B5543" w:rsidP="00F94E34">
      <w:pPr>
        <w:rPr>
          <w:lang w:eastAsia="en-GB"/>
        </w:rPr>
      </w:pPr>
    </w:p>
    <w:p w14:paraId="113FEC6D" w14:textId="71ED82C7" w:rsidR="002B5543" w:rsidRDefault="002B5543" w:rsidP="0005505B">
      <w:pPr>
        <w:rPr>
          <w:lang w:eastAsia="en-GB"/>
        </w:rPr>
      </w:pPr>
      <w:r w:rsidRPr="004807B3">
        <w:rPr>
          <w:lang w:eastAsia="en-GB"/>
        </w:rPr>
        <w:t xml:space="preserve">Taking research on reablement services as a proxy for vision rehabilitation, we can also be assured that the functional independence and personal safety outcomes </w:t>
      </w:r>
      <w:r>
        <w:rPr>
          <w:lang w:eastAsia="en-GB"/>
        </w:rPr>
        <w:t xml:space="preserve">we </w:t>
      </w:r>
      <w:r w:rsidRPr="004807B3">
        <w:rPr>
          <w:lang w:eastAsia="en-GB"/>
        </w:rPr>
        <w:t>heard about in interviews are accepted outcomes of reablement services that aim to 'reduce the number of care hours required to support a person at home or develop their independence so that they can remain in their own home instead of being admitted to residential or nursing care'</w:t>
      </w:r>
      <w:r>
        <w:rPr>
          <w:lang w:eastAsia="en-GB"/>
        </w:rPr>
        <w:t xml:space="preserve"> [</w:t>
      </w:r>
      <w:r w:rsidRPr="00D37B69">
        <w:rPr>
          <w:rStyle w:val="EndnoteReference"/>
        </w:rPr>
        <w:endnoteReference w:id="10"/>
      </w:r>
      <w:r>
        <w:rPr>
          <w:lang w:eastAsia="en-GB"/>
        </w:rPr>
        <w:t>].</w:t>
      </w:r>
    </w:p>
    <w:p w14:paraId="463E343D" w14:textId="1FA6E23E" w:rsidR="002B5543" w:rsidRDefault="002B5543" w:rsidP="00657754">
      <w:pPr>
        <w:pStyle w:val="Heading3"/>
      </w:pPr>
      <w:r w:rsidRPr="004B56C3">
        <w:t>Costs avoided</w:t>
      </w:r>
      <w:r>
        <w:t>, reduced or deferred</w:t>
      </w:r>
      <w:r w:rsidRPr="004B56C3">
        <w:t xml:space="preserve"> due to vision rehabilitation services</w:t>
      </w:r>
    </w:p>
    <w:p w14:paraId="103723DE" w14:textId="77777777" w:rsidR="00F83204" w:rsidRPr="00173142" w:rsidRDefault="00F83204" w:rsidP="00F83204">
      <w:pPr>
        <w:rPr>
          <w:rFonts w:eastAsia="Times New Roman" w:cstheme="minorHAnsi"/>
          <w:b/>
          <w:color w:val="191919" w:themeColor="background1" w:themeShade="1A"/>
          <w:szCs w:val="28"/>
          <w:lang w:val="en-AU"/>
        </w:rPr>
      </w:pPr>
      <w:r w:rsidRPr="00173142">
        <w:rPr>
          <w:color w:val="191919" w:themeColor="background1" w:themeShade="1A"/>
          <w:szCs w:val="28"/>
        </w:rPr>
        <w:t xml:space="preserve">If the outcomes identified for the Sight for Surrey vision rehabilitation model hold true for just 10% of people who are likely to experience those outcomes, the total value of costs avoided, reduced or deferred is </w:t>
      </w:r>
      <w:r w:rsidRPr="00173142">
        <w:rPr>
          <w:rFonts w:eastAsia="Times New Roman" w:cstheme="minorHAnsi"/>
          <w:b/>
          <w:color w:val="191919" w:themeColor="background1" w:themeShade="1A"/>
          <w:szCs w:val="28"/>
          <w:lang w:val="en-AU"/>
        </w:rPr>
        <w:t xml:space="preserve">£3,423,844 </w:t>
      </w:r>
      <w:r w:rsidRPr="00173142">
        <w:rPr>
          <w:rFonts w:eastAsia="Times New Roman" w:cstheme="minorHAnsi"/>
          <w:color w:val="191919" w:themeColor="background1" w:themeShade="1A"/>
          <w:szCs w:val="28"/>
          <w:lang w:val="en-AU"/>
        </w:rPr>
        <w:t>in the year 2015/16.</w:t>
      </w:r>
      <w:r w:rsidRPr="00173142">
        <w:rPr>
          <w:rFonts w:eastAsia="Times New Roman" w:cstheme="minorHAnsi"/>
          <w:b/>
          <w:color w:val="191919" w:themeColor="background1" w:themeShade="1A"/>
          <w:szCs w:val="28"/>
          <w:lang w:val="en-AU"/>
        </w:rPr>
        <w:t xml:space="preserve"> </w:t>
      </w:r>
    </w:p>
    <w:p w14:paraId="21A5A75B" w14:textId="7BC2A025" w:rsidR="00F83204" w:rsidRDefault="00F83204" w:rsidP="00F83204"/>
    <w:p w14:paraId="7486A040" w14:textId="77777777" w:rsidR="00F83204" w:rsidRPr="00F83204" w:rsidRDefault="00F83204" w:rsidP="00F83204"/>
    <w:p w14:paraId="5C5DD927" w14:textId="04998AA9" w:rsidR="002B5543" w:rsidRDefault="002B5543" w:rsidP="00C9378A">
      <w:pPr>
        <w:rPr>
          <w:rFonts w:eastAsia="Times New Roman"/>
          <w:color w:val="000000"/>
          <w:lang w:val="en-AU"/>
        </w:rPr>
      </w:pPr>
      <w:r w:rsidRPr="022DA057">
        <w:rPr>
          <w:rFonts w:eastAsia="Times New Roman"/>
          <w:color w:val="000000"/>
          <w:lang w:val="en-AU"/>
        </w:rPr>
        <w:t>These avoided costs are split by</w:t>
      </w:r>
      <w:r w:rsidRPr="022DA057">
        <w:rPr>
          <w:rFonts w:eastAsia="Times New Roman"/>
          <w:b/>
          <w:color w:val="000000"/>
          <w:lang w:val="en-AU"/>
        </w:rPr>
        <w:t xml:space="preserve"> </w:t>
      </w:r>
      <w:r w:rsidRPr="022DA057">
        <w:rPr>
          <w:rFonts w:eastAsia="Times New Roman"/>
          <w:color w:val="000000"/>
          <w:lang w:val="en-AU"/>
        </w:rPr>
        <w:t xml:space="preserve">impact area in the table below and explored in detail in Section 4 of the main report. </w:t>
      </w:r>
    </w:p>
    <w:tbl>
      <w:tblPr>
        <w:tblStyle w:val="OPMLightListorBox"/>
        <w:tblW w:w="89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Caption w:val="The potential financial benefits of/costs avoided by the Sight for Surrey vision rehabilitation service by impact area"/>
        <w:tblDescription w:val="The two columns in this table detail the financial values of each of the four impact areas for Sight for Suurey service users as well as the impact area for their family/carers. The final total across the impact areas is: £32,131,208"/>
      </w:tblPr>
      <w:tblGrid>
        <w:gridCol w:w="5093"/>
        <w:gridCol w:w="3828"/>
      </w:tblGrid>
      <w:tr w:rsidR="002B5543" w:rsidRPr="002766E1" w14:paraId="7B78AC62" w14:textId="77777777" w:rsidTr="00B74972">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093" w:type="dxa"/>
            <w:noWrap/>
            <w:hideMark/>
          </w:tcPr>
          <w:p w14:paraId="3F4A42B6" w14:textId="77777777" w:rsidR="002B5543" w:rsidRPr="00456523" w:rsidRDefault="002B5543" w:rsidP="00403DD6">
            <w:pPr>
              <w:rPr>
                <w:rFonts w:eastAsia="Times New Roman"/>
                <w:color w:val="000000"/>
                <w:lang w:val="en-AU"/>
              </w:rPr>
            </w:pPr>
            <w:r w:rsidRPr="022DA057">
              <w:rPr>
                <w:rFonts w:eastAsia="Times New Roman"/>
                <w:color w:val="000000"/>
                <w:lang w:val="en-AU"/>
              </w:rPr>
              <w:t xml:space="preserve">Impact area </w:t>
            </w:r>
          </w:p>
        </w:tc>
        <w:tc>
          <w:tcPr>
            <w:tcW w:w="3828" w:type="dxa"/>
            <w:noWrap/>
            <w:hideMark/>
          </w:tcPr>
          <w:p w14:paraId="1EEE08BA" w14:textId="01961A6B" w:rsidR="002B5543" w:rsidRDefault="002B5543" w:rsidP="00403DD6">
            <w:pPr>
              <w:cnfStyle w:val="100000000000" w:firstRow="1" w:lastRow="0" w:firstColumn="0" w:lastColumn="0" w:oddVBand="0" w:evenVBand="0" w:oddHBand="0" w:evenHBand="0" w:firstRowFirstColumn="0" w:firstRowLastColumn="0" w:lastRowFirstColumn="0" w:lastRowLastColumn="0"/>
              <w:rPr>
                <w:rFonts w:eastAsia="Times New Roman"/>
                <w:color w:val="000000"/>
                <w:lang w:val="en-AU"/>
              </w:rPr>
            </w:pPr>
            <w:r w:rsidRPr="022DA057">
              <w:rPr>
                <w:rFonts w:eastAsia="Times New Roman"/>
                <w:color w:val="000000"/>
                <w:lang w:val="en-AU"/>
              </w:rPr>
              <w:t xml:space="preserve">Potential financial benefit based on a conservative percentile approach (2015/16 </w:t>
            </w:r>
            <w:r w:rsidRPr="00F83204">
              <w:rPr>
                <w:rFonts w:eastAsia="Times New Roman"/>
                <w:color w:val="auto"/>
                <w:lang w:val="en-AU"/>
              </w:rPr>
              <w:t>year) [</w:t>
            </w:r>
            <w:r w:rsidRPr="00F83204">
              <w:rPr>
                <w:rStyle w:val="EndnoteReference"/>
                <w:rFonts w:eastAsia="Times New Roman"/>
                <w:b w:val="0"/>
                <w:color w:val="auto"/>
                <w:lang w:val="en-AU"/>
              </w:rPr>
              <w:endnoteReference w:id="11"/>
            </w:r>
            <w:r w:rsidRPr="00F83204">
              <w:rPr>
                <w:rFonts w:eastAsia="Times New Roman"/>
                <w:color w:val="auto"/>
                <w:lang w:val="en-AU"/>
              </w:rPr>
              <w:t>]</w:t>
            </w:r>
          </w:p>
          <w:p w14:paraId="2CD17B6C" w14:textId="77777777" w:rsidR="002B5543" w:rsidRPr="00456523" w:rsidRDefault="002B5543" w:rsidP="00403DD6">
            <w:pPr>
              <w:cnfStyle w:val="100000000000" w:firstRow="1" w:lastRow="0" w:firstColumn="0" w:lastColumn="0" w:oddVBand="0" w:evenVBand="0" w:oddHBand="0" w:evenHBand="0" w:firstRowFirstColumn="0" w:firstRowLastColumn="0" w:lastRowFirstColumn="0" w:lastRowLastColumn="0"/>
              <w:rPr>
                <w:rFonts w:eastAsia="Times New Roman"/>
                <w:color w:val="000000"/>
                <w:lang w:val="en-AU"/>
              </w:rPr>
            </w:pPr>
            <w:r w:rsidRPr="022DA057">
              <w:rPr>
                <w:rFonts w:eastAsia="Times New Roman"/>
                <w:color w:val="000000"/>
                <w:lang w:val="en-AU"/>
              </w:rPr>
              <w:t xml:space="preserve">Rounded to nearest £ </w:t>
            </w:r>
          </w:p>
        </w:tc>
      </w:tr>
      <w:tr w:rsidR="002B5543" w:rsidRPr="002766E1" w14:paraId="28858C15" w14:textId="77777777" w:rsidTr="00B7497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093" w:type="dxa"/>
            <w:tcBorders>
              <w:top w:val="none" w:sz="0" w:space="0" w:color="auto"/>
              <w:left w:val="none" w:sz="0" w:space="0" w:color="auto"/>
              <w:bottom w:val="none" w:sz="0" w:space="0" w:color="auto"/>
            </w:tcBorders>
            <w:noWrap/>
          </w:tcPr>
          <w:p w14:paraId="5F7A16BF" w14:textId="77777777" w:rsidR="002B5543" w:rsidRPr="00456523" w:rsidRDefault="002B5543" w:rsidP="00403DD6">
            <w:pPr>
              <w:rPr>
                <w:rFonts w:eastAsia="Times New Roman"/>
                <w:color w:val="000000"/>
                <w:lang w:val="en-AU"/>
              </w:rPr>
            </w:pPr>
            <w:r w:rsidRPr="022DA057">
              <w:rPr>
                <w:rFonts w:eastAsia="Times New Roman"/>
                <w:color w:val="000000"/>
                <w:lang w:val="en-AU"/>
              </w:rPr>
              <w:t xml:space="preserve">Increased functional independence </w:t>
            </w:r>
          </w:p>
        </w:tc>
        <w:tc>
          <w:tcPr>
            <w:tcW w:w="3828" w:type="dxa"/>
            <w:tcBorders>
              <w:top w:val="none" w:sz="0" w:space="0" w:color="auto"/>
              <w:bottom w:val="none" w:sz="0" w:space="0" w:color="auto"/>
              <w:right w:val="none" w:sz="0" w:space="0" w:color="auto"/>
            </w:tcBorders>
            <w:noWrap/>
          </w:tcPr>
          <w:p w14:paraId="69C793FF" w14:textId="77777777" w:rsidR="002B5543" w:rsidRPr="00733828" w:rsidRDefault="002B5543" w:rsidP="00403DD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highlight w:val="yellow"/>
                <w:lang w:val="en-AU"/>
              </w:rPr>
            </w:pPr>
            <w:r w:rsidRPr="022DA057">
              <w:rPr>
                <w:rFonts w:eastAsia="Times New Roman"/>
                <w:color w:val="000000"/>
                <w:lang w:val="en-AU"/>
              </w:rPr>
              <w:t>£2,860,860</w:t>
            </w:r>
          </w:p>
        </w:tc>
      </w:tr>
      <w:tr w:rsidR="002B5543" w:rsidRPr="002766E1" w14:paraId="22A808BF" w14:textId="77777777" w:rsidTr="00B74972">
        <w:trPr>
          <w:trHeight w:val="280"/>
        </w:trPr>
        <w:tc>
          <w:tcPr>
            <w:cnfStyle w:val="001000000000" w:firstRow="0" w:lastRow="0" w:firstColumn="1" w:lastColumn="0" w:oddVBand="0" w:evenVBand="0" w:oddHBand="0" w:evenHBand="0" w:firstRowFirstColumn="0" w:firstRowLastColumn="0" w:lastRowFirstColumn="0" w:lastRowLastColumn="0"/>
            <w:tcW w:w="5093" w:type="dxa"/>
            <w:noWrap/>
            <w:hideMark/>
          </w:tcPr>
          <w:p w14:paraId="265BD16E" w14:textId="77777777" w:rsidR="002B5543" w:rsidRPr="00456523" w:rsidRDefault="002B5543" w:rsidP="00403DD6">
            <w:pPr>
              <w:rPr>
                <w:rFonts w:eastAsia="Times New Roman"/>
                <w:color w:val="000000"/>
                <w:lang w:val="en-AU"/>
              </w:rPr>
            </w:pPr>
            <w:r w:rsidRPr="022DA057">
              <w:rPr>
                <w:rFonts w:eastAsia="Times New Roman"/>
                <w:color w:val="000000"/>
                <w:lang w:val="en-AU"/>
              </w:rPr>
              <w:t xml:space="preserve">Increased personal safety </w:t>
            </w:r>
          </w:p>
        </w:tc>
        <w:tc>
          <w:tcPr>
            <w:tcW w:w="3828" w:type="dxa"/>
            <w:noWrap/>
            <w:hideMark/>
          </w:tcPr>
          <w:p w14:paraId="2B7E2D99" w14:textId="77777777" w:rsidR="002B5543" w:rsidRPr="00733828" w:rsidRDefault="002B5543" w:rsidP="00403DD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highlight w:val="yellow"/>
                <w:lang w:val="en-AU"/>
              </w:rPr>
            </w:pPr>
            <w:r w:rsidRPr="022DA057">
              <w:rPr>
                <w:rFonts w:eastAsia="Times New Roman"/>
                <w:color w:val="000000"/>
                <w:lang w:val="en-AU"/>
              </w:rPr>
              <w:t>£153,237</w:t>
            </w:r>
          </w:p>
        </w:tc>
      </w:tr>
      <w:tr w:rsidR="002B5543" w:rsidRPr="002766E1" w14:paraId="139B3DA3" w14:textId="77777777" w:rsidTr="00B7497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093" w:type="dxa"/>
            <w:tcBorders>
              <w:top w:val="none" w:sz="0" w:space="0" w:color="auto"/>
              <w:left w:val="none" w:sz="0" w:space="0" w:color="auto"/>
              <w:bottom w:val="none" w:sz="0" w:space="0" w:color="auto"/>
            </w:tcBorders>
            <w:noWrap/>
            <w:hideMark/>
          </w:tcPr>
          <w:p w14:paraId="236449C6" w14:textId="77777777" w:rsidR="002B5543" w:rsidRPr="00456523" w:rsidRDefault="002B5543" w:rsidP="00403DD6">
            <w:pPr>
              <w:rPr>
                <w:rFonts w:eastAsia="Times New Roman"/>
                <w:color w:val="000000"/>
                <w:lang w:val="en-AU"/>
              </w:rPr>
            </w:pPr>
            <w:r w:rsidRPr="022DA057">
              <w:rPr>
                <w:rFonts w:eastAsia="Times New Roman"/>
                <w:color w:val="000000"/>
                <w:lang w:val="en-AU"/>
              </w:rPr>
              <w:t xml:space="preserve">Improved emotional wellbeing </w:t>
            </w:r>
          </w:p>
        </w:tc>
        <w:tc>
          <w:tcPr>
            <w:tcW w:w="3828" w:type="dxa"/>
            <w:tcBorders>
              <w:top w:val="none" w:sz="0" w:space="0" w:color="auto"/>
              <w:bottom w:val="none" w:sz="0" w:space="0" w:color="auto"/>
              <w:right w:val="none" w:sz="0" w:space="0" w:color="auto"/>
            </w:tcBorders>
            <w:noWrap/>
            <w:hideMark/>
          </w:tcPr>
          <w:p w14:paraId="596F0838" w14:textId="77777777" w:rsidR="002B5543" w:rsidRPr="00733828" w:rsidRDefault="002B5543" w:rsidP="00403DD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highlight w:val="yellow"/>
                <w:lang w:val="en-AU"/>
              </w:rPr>
            </w:pPr>
            <w:r w:rsidRPr="022DA057">
              <w:rPr>
                <w:rFonts w:eastAsia="Times New Roman"/>
                <w:color w:val="000000"/>
                <w:lang w:val="en-AU"/>
              </w:rPr>
              <w:t>£85,330</w:t>
            </w:r>
          </w:p>
        </w:tc>
      </w:tr>
      <w:tr w:rsidR="002B5543" w:rsidRPr="002766E1" w14:paraId="2314C1FC" w14:textId="77777777" w:rsidTr="00B74972">
        <w:trPr>
          <w:trHeight w:val="280"/>
        </w:trPr>
        <w:tc>
          <w:tcPr>
            <w:cnfStyle w:val="001000000000" w:firstRow="0" w:lastRow="0" w:firstColumn="1" w:lastColumn="0" w:oddVBand="0" w:evenVBand="0" w:oddHBand="0" w:evenHBand="0" w:firstRowFirstColumn="0" w:firstRowLastColumn="0" w:lastRowFirstColumn="0" w:lastRowLastColumn="0"/>
            <w:tcW w:w="5093" w:type="dxa"/>
            <w:noWrap/>
            <w:hideMark/>
          </w:tcPr>
          <w:p w14:paraId="45986244" w14:textId="77777777" w:rsidR="002B5543" w:rsidRPr="00456523" w:rsidRDefault="002B5543" w:rsidP="00403DD6">
            <w:pPr>
              <w:rPr>
                <w:rFonts w:eastAsia="Times New Roman"/>
                <w:color w:val="000000"/>
                <w:lang w:val="en-AU"/>
              </w:rPr>
            </w:pPr>
            <w:r w:rsidRPr="022DA057">
              <w:rPr>
                <w:rFonts w:eastAsia="Times New Roman"/>
                <w:color w:val="000000"/>
                <w:lang w:val="en-AU"/>
              </w:rPr>
              <w:t>Improved social participation</w:t>
            </w:r>
          </w:p>
        </w:tc>
        <w:tc>
          <w:tcPr>
            <w:tcW w:w="3828" w:type="dxa"/>
            <w:noWrap/>
            <w:hideMark/>
          </w:tcPr>
          <w:p w14:paraId="01FEB28F" w14:textId="77777777" w:rsidR="002B5543" w:rsidRPr="00733828" w:rsidRDefault="002B5543" w:rsidP="00403DD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highlight w:val="yellow"/>
                <w:lang w:val="en-AU"/>
              </w:rPr>
            </w:pPr>
            <w:r w:rsidRPr="022DA057">
              <w:rPr>
                <w:rFonts w:eastAsia="Times New Roman"/>
                <w:color w:val="000000"/>
                <w:lang w:val="en-AU"/>
              </w:rPr>
              <w:t>£73,839</w:t>
            </w:r>
          </w:p>
        </w:tc>
      </w:tr>
      <w:tr w:rsidR="002B5543" w:rsidRPr="002766E1" w14:paraId="6F3C5BA0" w14:textId="77777777" w:rsidTr="00B7497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093" w:type="dxa"/>
            <w:tcBorders>
              <w:top w:val="none" w:sz="0" w:space="0" w:color="auto"/>
              <w:left w:val="none" w:sz="0" w:space="0" w:color="auto"/>
              <w:bottom w:val="none" w:sz="0" w:space="0" w:color="auto"/>
            </w:tcBorders>
            <w:noWrap/>
            <w:hideMark/>
          </w:tcPr>
          <w:p w14:paraId="6E62B690" w14:textId="77777777" w:rsidR="002B5543" w:rsidRPr="00456523" w:rsidRDefault="002B5543" w:rsidP="00403DD6">
            <w:pPr>
              <w:rPr>
                <w:rFonts w:eastAsia="Times New Roman"/>
                <w:color w:val="000000"/>
                <w:lang w:val="en-AU"/>
              </w:rPr>
            </w:pPr>
            <w:r w:rsidRPr="022DA057">
              <w:rPr>
                <w:rFonts w:eastAsia="Times New Roman"/>
                <w:color w:val="000000"/>
                <w:lang w:val="en-AU"/>
              </w:rPr>
              <w:t xml:space="preserve">Outcomes for family/carers </w:t>
            </w:r>
          </w:p>
        </w:tc>
        <w:tc>
          <w:tcPr>
            <w:tcW w:w="3828" w:type="dxa"/>
            <w:tcBorders>
              <w:top w:val="none" w:sz="0" w:space="0" w:color="auto"/>
              <w:bottom w:val="none" w:sz="0" w:space="0" w:color="auto"/>
              <w:right w:val="none" w:sz="0" w:space="0" w:color="auto"/>
            </w:tcBorders>
            <w:noWrap/>
            <w:hideMark/>
          </w:tcPr>
          <w:p w14:paraId="5C02B73C" w14:textId="77777777" w:rsidR="002B5543" w:rsidRPr="003A45FB" w:rsidRDefault="002B5543" w:rsidP="00403DD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highlight w:val="yellow"/>
                <w:lang w:val="en-AU"/>
              </w:rPr>
            </w:pPr>
            <w:r w:rsidRPr="022DA057">
              <w:rPr>
                <w:rFonts w:eastAsia="Times New Roman"/>
                <w:color w:val="000000"/>
                <w:lang w:val="en-AU"/>
              </w:rPr>
              <w:t>£250,579</w:t>
            </w:r>
          </w:p>
        </w:tc>
      </w:tr>
      <w:tr w:rsidR="002B5543" w:rsidRPr="002766E1" w14:paraId="6F0E88EE" w14:textId="77777777" w:rsidTr="00173142">
        <w:trPr>
          <w:trHeight w:val="280"/>
        </w:trPr>
        <w:tc>
          <w:tcPr>
            <w:cnfStyle w:val="001000000000" w:firstRow="0" w:lastRow="0" w:firstColumn="1" w:lastColumn="0" w:oddVBand="0" w:evenVBand="0" w:oddHBand="0" w:evenHBand="0" w:firstRowFirstColumn="0" w:firstRowLastColumn="0" w:lastRowFirstColumn="0" w:lastRowLastColumn="0"/>
            <w:tcW w:w="5093" w:type="dxa"/>
            <w:shd w:val="clear" w:color="auto" w:fill="auto"/>
            <w:noWrap/>
          </w:tcPr>
          <w:p w14:paraId="7993F95D" w14:textId="0AB7E795" w:rsidR="002B5543" w:rsidRPr="00456523" w:rsidRDefault="002B5543" w:rsidP="00403DD6">
            <w:pPr>
              <w:rPr>
                <w:rFonts w:eastAsia="Times New Roman"/>
                <w:color w:val="000000"/>
                <w:lang w:val="en-AU"/>
              </w:rPr>
            </w:pPr>
            <w:r w:rsidRPr="022DA057">
              <w:rPr>
                <w:rFonts w:eastAsia="Times New Roman"/>
                <w:color w:val="000000"/>
                <w:lang w:val="en-AU"/>
              </w:rPr>
              <w:t xml:space="preserve">TOTAL </w:t>
            </w:r>
            <w:r w:rsidRPr="022DA057">
              <w:rPr>
                <w:rFonts w:eastAsia="Times New Roman"/>
                <w:b w:val="0"/>
                <w:color w:val="000000"/>
                <w:lang w:val="en-AU"/>
              </w:rPr>
              <w:t>[</w:t>
            </w:r>
            <w:r w:rsidRPr="022DA057">
              <w:rPr>
                <w:rStyle w:val="EndnoteReference"/>
                <w:rFonts w:eastAsia="Times New Roman"/>
                <w:b w:val="0"/>
                <w:lang w:val="en-AU"/>
              </w:rPr>
              <w:endnoteReference w:id="12"/>
            </w:r>
            <w:r w:rsidRPr="022DA057">
              <w:rPr>
                <w:rFonts w:eastAsia="Times New Roman"/>
                <w:b w:val="0"/>
                <w:color w:val="000000"/>
                <w:lang w:val="en-AU"/>
              </w:rPr>
              <w:t xml:space="preserve">] </w:t>
            </w:r>
          </w:p>
        </w:tc>
        <w:tc>
          <w:tcPr>
            <w:tcW w:w="3828" w:type="dxa"/>
            <w:shd w:val="clear" w:color="auto" w:fill="auto"/>
            <w:noWrap/>
          </w:tcPr>
          <w:p w14:paraId="3CD268E2" w14:textId="77777777" w:rsidR="002B5543" w:rsidRPr="003A45FB" w:rsidRDefault="002B5543" w:rsidP="00403DD6">
            <w:pPr>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highlight w:val="yellow"/>
                <w:lang w:val="en-AU"/>
              </w:rPr>
            </w:pPr>
            <w:r w:rsidRPr="022DA057">
              <w:rPr>
                <w:rFonts w:eastAsia="Times New Roman"/>
                <w:b/>
                <w:color w:val="000000"/>
                <w:lang w:val="en-AU"/>
              </w:rPr>
              <w:t>£3,423,844</w:t>
            </w:r>
          </w:p>
        </w:tc>
      </w:tr>
    </w:tbl>
    <w:p w14:paraId="6A09EF0E" w14:textId="5597CE66" w:rsidR="002B5543" w:rsidRDefault="002B5543" w:rsidP="00657754">
      <w:pPr>
        <w:rPr>
          <w:lang w:eastAsia="en-GB"/>
        </w:rPr>
      </w:pPr>
      <w:r>
        <w:rPr>
          <w:lang w:eastAsia="en-GB"/>
        </w:rPr>
        <w:t>The total figure for costs avoided, reduced or deferred is high-level and multi-layered; we have therefore further broken it down into avoided costs (or positive value generated) for:</w:t>
      </w:r>
    </w:p>
    <w:p w14:paraId="27D1EDC9" w14:textId="2D8672C4" w:rsidR="002B5543" w:rsidRDefault="002B5543" w:rsidP="00361C02">
      <w:pPr>
        <w:pStyle w:val="ListBullet"/>
        <w:numPr>
          <w:ilvl w:val="0"/>
          <w:numId w:val="36"/>
        </w:numPr>
        <w:rPr>
          <w:lang w:eastAsia="en-GB"/>
        </w:rPr>
      </w:pPr>
      <w:r>
        <w:rPr>
          <w:lang w:eastAsia="en-GB"/>
        </w:rPr>
        <w:t>The health and social care systems</w:t>
      </w:r>
    </w:p>
    <w:p w14:paraId="3B9BFE3A" w14:textId="4449625D" w:rsidR="002B5543" w:rsidRDefault="002B5543" w:rsidP="00361C02">
      <w:pPr>
        <w:pStyle w:val="ListBullet"/>
        <w:numPr>
          <w:ilvl w:val="0"/>
          <w:numId w:val="36"/>
        </w:numPr>
        <w:rPr>
          <w:lang w:eastAsia="en-GB"/>
        </w:rPr>
      </w:pPr>
      <w:r>
        <w:rPr>
          <w:lang w:eastAsia="en-GB"/>
        </w:rPr>
        <w:t>Service users, their families and carers.</w:t>
      </w:r>
    </w:p>
    <w:p w14:paraId="0D880408" w14:textId="35802FD5" w:rsidR="002B5543" w:rsidRDefault="002B5543" w:rsidP="00C9378A">
      <w:pPr>
        <w:rPr>
          <w:lang w:eastAsia="en-GB"/>
        </w:rPr>
      </w:pPr>
      <w:r>
        <w:rPr>
          <w:lang w:eastAsia="en-GB"/>
        </w:rPr>
        <w:t>Most of the potential value resulting from the Sight for Surrey outcomes that we have identified pertains to costs avoided, reduced or deferred in the health and social care systems, with some ‘softer’ outcomes having value generated or costs saved primarily by the service user.</w:t>
      </w:r>
    </w:p>
    <w:p w14:paraId="11B7D872" w14:textId="6C117CD8" w:rsidR="00F83204" w:rsidRDefault="00F83204" w:rsidP="00C9378A">
      <w:pPr>
        <w:rPr>
          <w:lang w:eastAsia="en-GB"/>
        </w:rPr>
      </w:pPr>
    </w:p>
    <w:p w14:paraId="75EF69FE" w14:textId="6B1A5880" w:rsidR="00F83204" w:rsidRDefault="00F83204" w:rsidP="00C9378A">
      <w:pPr>
        <w:rPr>
          <w:lang w:eastAsia="en-GB"/>
        </w:rPr>
      </w:pPr>
    </w:p>
    <w:p w14:paraId="6E08D958" w14:textId="77777777" w:rsidR="00F83204" w:rsidRPr="00173142" w:rsidRDefault="00F83204" w:rsidP="00F83204">
      <w:pPr>
        <w:rPr>
          <w:color w:val="191919" w:themeColor="background1" w:themeShade="1A"/>
          <w:szCs w:val="28"/>
          <w:lang w:eastAsia="en-GB"/>
        </w:rPr>
      </w:pPr>
      <w:r w:rsidRPr="00173142">
        <w:rPr>
          <w:color w:val="191919" w:themeColor="background1" w:themeShade="1A"/>
          <w:szCs w:val="28"/>
          <w:lang w:eastAsia="en-GB"/>
        </w:rPr>
        <w:t xml:space="preserve">The </w:t>
      </w:r>
      <w:r w:rsidRPr="00173142">
        <w:rPr>
          <w:b/>
          <w:color w:val="191919" w:themeColor="background1" w:themeShade="1A"/>
          <w:szCs w:val="28"/>
          <w:lang w:eastAsia="en-GB"/>
        </w:rPr>
        <w:t>avoided, reduced or deferred costs that may be experienced in the health and social care systems</w:t>
      </w:r>
      <w:r w:rsidRPr="00173142">
        <w:rPr>
          <w:color w:val="191919" w:themeColor="background1" w:themeShade="1A"/>
          <w:szCs w:val="28"/>
          <w:lang w:eastAsia="en-GB"/>
        </w:rPr>
        <w:t xml:space="preserve"> as a result of the Sight for Surrey vision rehabilitation service total: </w:t>
      </w:r>
      <w:r w:rsidRPr="00173142">
        <w:rPr>
          <w:b/>
          <w:color w:val="191919" w:themeColor="background1" w:themeShade="1A"/>
          <w:szCs w:val="28"/>
          <w:lang w:eastAsia="en-GB"/>
        </w:rPr>
        <w:t xml:space="preserve">£3,168,022 </w:t>
      </w:r>
      <w:r w:rsidRPr="00173142">
        <w:rPr>
          <w:color w:val="191919" w:themeColor="background1" w:themeShade="1A"/>
          <w:szCs w:val="28"/>
          <w:lang w:eastAsia="en-GB"/>
        </w:rPr>
        <w:t>(in the year 2015/16).</w:t>
      </w:r>
    </w:p>
    <w:p w14:paraId="5F605FB3" w14:textId="77777777" w:rsidR="00F83204" w:rsidRPr="00F83204" w:rsidRDefault="00F83204" w:rsidP="00F83204">
      <w:pPr>
        <w:rPr>
          <w:color w:val="191919" w:themeColor="background1" w:themeShade="1A"/>
          <w:szCs w:val="28"/>
          <w:lang w:eastAsia="en-GB"/>
        </w:rPr>
      </w:pPr>
      <w:r w:rsidRPr="00F83204">
        <w:rPr>
          <w:b/>
          <w:color w:val="191919" w:themeColor="background1" w:themeShade="1A"/>
          <w:szCs w:val="28"/>
          <w:lang w:eastAsia="en-GB"/>
        </w:rPr>
        <w:t>The avoided, reduced or deferred costs (and value generated) that may be experienced by service users, their families and carers</w:t>
      </w:r>
      <w:r w:rsidRPr="00F83204">
        <w:rPr>
          <w:color w:val="191919" w:themeColor="background1" w:themeShade="1A"/>
          <w:szCs w:val="28"/>
          <w:lang w:eastAsia="en-GB"/>
        </w:rPr>
        <w:t xml:space="preserve"> as a result of the Sight for Surrey vision rehabilitation service total: </w:t>
      </w:r>
      <w:r w:rsidRPr="00F83204">
        <w:rPr>
          <w:b/>
          <w:color w:val="191919" w:themeColor="background1" w:themeShade="1A"/>
          <w:szCs w:val="28"/>
          <w:lang w:eastAsia="en-GB"/>
        </w:rPr>
        <w:t>£255,823</w:t>
      </w:r>
      <w:r w:rsidRPr="00F83204">
        <w:rPr>
          <w:color w:val="191919" w:themeColor="background1" w:themeShade="1A"/>
          <w:szCs w:val="28"/>
          <w:lang w:eastAsia="en-GB"/>
        </w:rPr>
        <w:t xml:space="preserve"> (in the year 2015/16).</w:t>
      </w:r>
    </w:p>
    <w:p w14:paraId="32532345" w14:textId="71FFED2E" w:rsidR="002B5543" w:rsidRDefault="00F83204" w:rsidP="001732BC">
      <w:pPr>
        <w:pStyle w:val="Heading2"/>
      </w:pPr>
      <w:bookmarkStart w:id="13" w:name="_Toc485896959"/>
      <w:r>
        <w:t>R</w:t>
      </w:r>
      <w:r w:rsidR="002B5543">
        <w:t>ecommendations for further research</w:t>
      </w:r>
      <w:bookmarkEnd w:id="13"/>
    </w:p>
    <w:p w14:paraId="7DAD137E" w14:textId="0CE5C66C" w:rsidR="002B5543" w:rsidRDefault="002B5543" w:rsidP="004F5C44">
      <w:pPr>
        <w:pStyle w:val="ListBullet"/>
      </w:pPr>
      <w:r>
        <w:t>This research makes an early contribution to an evidence base that is currently sparse in the specific field of vision rehabilitation. The methodology was chosen due to the need for a robust yet pragmatic approach in the context of the paucity of existing robust evidence. Our approach means that we can be confident that the findings can be plausibly applicable to vision rehabilitation services more widely than the case study site that was the basis for the research.</w:t>
      </w:r>
    </w:p>
    <w:p w14:paraId="65F9D787" w14:textId="77777777" w:rsidR="002B5543" w:rsidRDefault="002B5543" w:rsidP="004F5C44">
      <w:pPr>
        <w:pStyle w:val="ListBullet"/>
      </w:pPr>
    </w:p>
    <w:p w14:paraId="62331F79" w14:textId="11D04328" w:rsidR="002B5543" w:rsidRDefault="002B5543" w:rsidP="004F5C44">
      <w:pPr>
        <w:pStyle w:val="ListBullet"/>
      </w:pPr>
      <w:r>
        <w:t>However, further research is necessary to continue to address the current gap in evidence. For example, further studies that look at a range of different types of vision rehabilitation service providers and models of delivery could strengthen and build upon the evidence presented here.</w:t>
      </w:r>
    </w:p>
    <w:p w14:paraId="25CB1781" w14:textId="77777777" w:rsidR="002B5543" w:rsidRDefault="002B5543" w:rsidP="004F5C44">
      <w:pPr>
        <w:pStyle w:val="ListBullet"/>
      </w:pPr>
    </w:p>
    <w:p w14:paraId="5E4B4BD5" w14:textId="32168A79" w:rsidR="002B5543" w:rsidRDefault="002B5543" w:rsidP="004F5C44">
      <w:pPr>
        <w:pStyle w:val="ListBullet"/>
      </w:pPr>
      <w:r>
        <w:t>Vision rehabilitation services might also be encouraged and supported to develop more robust monitoring data collection mechanisms so that research can be more easily carried out across this specialist service area.</w:t>
      </w:r>
    </w:p>
    <w:p w14:paraId="6EAA6313" w14:textId="77777777" w:rsidR="002B5543" w:rsidRDefault="002B5543">
      <w:pPr>
        <w:spacing w:before="0" w:after="0"/>
        <w:rPr>
          <w:lang w:eastAsia="en-GB"/>
        </w:rPr>
      </w:pPr>
      <w:r>
        <w:rPr>
          <w:lang w:eastAsia="en-GB"/>
        </w:rPr>
        <w:br w:type="page"/>
      </w:r>
    </w:p>
    <w:p w14:paraId="03A47069" w14:textId="78766947" w:rsidR="002B5543" w:rsidRDefault="002B5543" w:rsidP="00361C02">
      <w:pPr>
        <w:pStyle w:val="Heading1"/>
        <w:numPr>
          <w:ilvl w:val="0"/>
          <w:numId w:val="17"/>
        </w:numPr>
        <w:tabs>
          <w:tab w:val="left" w:pos="3686"/>
        </w:tabs>
      </w:pPr>
      <w:bookmarkStart w:id="14" w:name="_Toc485896960"/>
      <w:r>
        <w:t>Introduction</w:t>
      </w:r>
      <w:bookmarkEnd w:id="14"/>
    </w:p>
    <w:p w14:paraId="440DB3E0" w14:textId="5122C174" w:rsidR="002B5543" w:rsidRDefault="002B5543" w:rsidP="0093185F">
      <w:r>
        <w:t>Losing some or all your sight can be overwhelming and difficult, whether it happens suddenly or gradually. Everyday tasks like making a cup of tea, using a microwave, reading the mail, or crossing a road can seem daunting and people might worry about their ability to continue living independently, maintain a social life, or retain or find new employment</w:t>
      </w:r>
      <w:r w:rsidRPr="006A141D">
        <w:t>.</w:t>
      </w:r>
      <w:r>
        <w:t xml:space="preserve"> </w:t>
      </w:r>
      <w:r w:rsidRPr="00744C84">
        <w:t xml:space="preserve">People who have been blind or </w:t>
      </w:r>
      <w:r>
        <w:t>partially sighted</w:t>
      </w:r>
      <w:r w:rsidRPr="00744C84">
        <w:t xml:space="preserve"> from birth or childhood also experience</w:t>
      </w:r>
      <w:r>
        <w:t xml:space="preserve"> difficulties with living independently which may evolve as they move through life stages and may include issues with accessing employment or keeping up with advances in vision impairment aids and technology</w:t>
      </w:r>
      <w:r w:rsidRPr="00744C84">
        <w:t>.</w:t>
      </w:r>
      <w:r>
        <w:t xml:space="preserve"> [</w:t>
      </w:r>
      <w:r w:rsidRPr="006A141D">
        <w:rPr>
          <w:rStyle w:val="EndnoteReference"/>
        </w:rPr>
        <w:endnoteReference w:id="13"/>
      </w:r>
      <w:r>
        <w:t>,</w:t>
      </w:r>
      <w:r w:rsidRPr="006A141D">
        <w:rPr>
          <w:rStyle w:val="EndnoteReference"/>
        </w:rPr>
        <w:endnoteReference w:id="14"/>
      </w:r>
      <w:r>
        <w:t>]</w:t>
      </w:r>
      <w:r>
        <w:rPr>
          <w:vertAlign w:val="superscript"/>
        </w:rPr>
        <w:t xml:space="preserve"> </w:t>
      </w:r>
    </w:p>
    <w:p w14:paraId="4E6724C8" w14:textId="77777777" w:rsidR="002B5543" w:rsidRDefault="002B5543" w:rsidP="00E718C7">
      <w:bookmarkStart w:id="15" w:name="_Hlk481762701"/>
    </w:p>
    <w:p w14:paraId="76000126" w14:textId="298DBCB2" w:rsidR="002B5543" w:rsidRDefault="002B5543" w:rsidP="00E718C7">
      <w:r>
        <w:t>Councils in England commission and/or provide vision rehabilitation services to people who have experienced sight loss or deterioration, or who have been blind or partially sighted since birth or childhood, to help address some of these difficulties.</w:t>
      </w:r>
      <w:bookmarkEnd w:id="15"/>
      <w:r>
        <w:t xml:space="preserve"> Vision rehabilitation aims to help people adapt to their vision impairment through providing training in daily living skills, mobility, and communications, and supporting them to feel more confident and independent. However, vision rehabilitation services are under significant pressure due to increasing demands on health and social care budgets. </w:t>
      </w:r>
      <w:bookmarkStart w:id="16" w:name="_Hlk481762727"/>
      <w:r>
        <w:t>RNIB research found that between 2009/10 and 2014/15 over half of all local authorities in England reduced their budgets for services for blind and partially sighted people and that the average reduction was 15% over the five-year period</w:t>
      </w:r>
      <w:bookmarkEnd w:id="16"/>
      <w:r>
        <w:t>. [</w:t>
      </w:r>
      <w:r>
        <w:rPr>
          <w:rStyle w:val="EndnoteReference"/>
        </w:rPr>
        <w:endnoteReference w:id="15"/>
      </w:r>
      <w:r>
        <w:t xml:space="preserve">]  </w:t>
      </w:r>
    </w:p>
    <w:p w14:paraId="57173F81" w14:textId="77777777" w:rsidR="002B5543" w:rsidRDefault="002B5543" w:rsidP="003656C2"/>
    <w:p w14:paraId="1570130D" w14:textId="64DEEC2C" w:rsidR="002B5543" w:rsidRDefault="002B5543" w:rsidP="003656C2">
      <w:r>
        <w:t xml:space="preserve">There is little robust evidence around the effectiveness and the financial costs and benefits of vision rehabilitation. To begin to address this significant gap in the research and to inform future provision, RNIB commissioned OPM to carry out an assessment of the costs and benefits of vision rehabilitation services. Our approach is based on an economic assessment technique called cost-avoidance analysis (which is outlined in the methodology section) using evidence from a case study of a vision rehabilitation service in England – run by Sight for Surrey – and, where necessary, published studies on the impact of vision rehabilitation and other comparable services such as reablement.      </w:t>
      </w:r>
    </w:p>
    <w:p w14:paraId="02EB5D5B" w14:textId="477E52ED" w:rsidR="002B5543" w:rsidRDefault="002B5543" w:rsidP="00A2532B">
      <w:pPr>
        <w:pStyle w:val="Heading2"/>
      </w:pPr>
      <w:bookmarkStart w:id="17" w:name="_Toc485896961"/>
      <w:r>
        <w:t>1.1 Reading this report</w:t>
      </w:r>
      <w:bookmarkEnd w:id="17"/>
    </w:p>
    <w:p w14:paraId="1C0F8D18" w14:textId="451C31B2" w:rsidR="002B5543" w:rsidRDefault="002B5543" w:rsidP="003656C2">
      <w:r>
        <w:t>This report presents the methodology and findings from our research. The report is organised into the following sections:</w:t>
      </w:r>
    </w:p>
    <w:p w14:paraId="56614567" w14:textId="54B88270" w:rsidR="002B5543" w:rsidRDefault="002B5543" w:rsidP="003656C2">
      <w:r>
        <w:t>Section 1: Introduction – Introducing the background and context.</w:t>
      </w:r>
    </w:p>
    <w:p w14:paraId="4570D3C3" w14:textId="17D221B7" w:rsidR="002B5543" w:rsidRDefault="002B5543" w:rsidP="003656C2">
      <w:r>
        <w:t>Section 2: Methodology – This section lays out the principles underpinning our approach, the process of carrying out the research, and the data collection methods used to do so.</w:t>
      </w:r>
    </w:p>
    <w:p w14:paraId="526715DE" w14:textId="6E906CAC" w:rsidR="002B5543" w:rsidRDefault="002B5543" w:rsidP="003656C2">
      <w:r>
        <w:t>Section 3: Understanding vision rehabilitation – This section lays out the key components of a vision rehabilitation service including the activities involved at each stage. It also introduces the case study site that was used as the basis for this piece of work.</w:t>
      </w:r>
    </w:p>
    <w:p w14:paraId="35A6011D" w14:textId="697FE82C" w:rsidR="002B5543" w:rsidRDefault="002B5543" w:rsidP="003656C2">
      <w:r>
        <w:t>Section 4: Findings – This section discusses the findings of the work, separated into three key areas: the cost of vision rehabilitation; the impact of vision rehabilitation; and valuing outcomes in monetary terms.</w:t>
      </w:r>
    </w:p>
    <w:p w14:paraId="6AFAD10D" w14:textId="663A31B0" w:rsidR="002B5543" w:rsidRDefault="002B5543" w:rsidP="003656C2">
      <w:r>
        <w:t>Section 5: Conclusions – This section summarises the key findings and lays out recommendations for further research.</w:t>
      </w:r>
    </w:p>
    <w:p w14:paraId="10546684" w14:textId="2E84D102" w:rsidR="002B5543" w:rsidRDefault="002B5543" w:rsidP="00361C02">
      <w:pPr>
        <w:pStyle w:val="Heading1"/>
        <w:numPr>
          <w:ilvl w:val="0"/>
          <w:numId w:val="17"/>
        </w:numPr>
      </w:pPr>
      <w:bookmarkStart w:id="18" w:name="_Toc471990312"/>
      <w:bookmarkStart w:id="19" w:name="_Toc472003332"/>
      <w:bookmarkStart w:id="20" w:name="_Toc472010201"/>
      <w:bookmarkStart w:id="21" w:name="_Toc472019280"/>
      <w:bookmarkStart w:id="22" w:name="_Toc471990313"/>
      <w:bookmarkStart w:id="23" w:name="_Toc472003333"/>
      <w:bookmarkStart w:id="24" w:name="_Toc472010202"/>
      <w:bookmarkStart w:id="25" w:name="_Toc472019281"/>
      <w:bookmarkStart w:id="26" w:name="_Toc485896962"/>
      <w:bookmarkEnd w:id="18"/>
      <w:bookmarkEnd w:id="19"/>
      <w:bookmarkEnd w:id="20"/>
      <w:bookmarkEnd w:id="21"/>
      <w:bookmarkEnd w:id="22"/>
      <w:bookmarkEnd w:id="23"/>
      <w:bookmarkEnd w:id="24"/>
      <w:bookmarkEnd w:id="25"/>
      <w:r>
        <w:t>Methodology</w:t>
      </w:r>
      <w:bookmarkEnd w:id="26"/>
    </w:p>
    <w:p w14:paraId="79003AEF" w14:textId="54219DE1" w:rsidR="002B5543" w:rsidRPr="00260E8C" w:rsidRDefault="002B5543" w:rsidP="00260E8C">
      <w:pPr>
        <w:pStyle w:val="Heading2"/>
      </w:pPr>
      <w:bookmarkStart w:id="27" w:name="_Toc485896963"/>
      <w:r>
        <w:t>2.1 Principles underpinning our approach</w:t>
      </w:r>
      <w:bookmarkEnd w:id="27"/>
    </w:p>
    <w:p w14:paraId="7ECE3B12" w14:textId="2E2A1C12" w:rsidR="002B5543" w:rsidRPr="00D37B69" w:rsidRDefault="002B5543" w:rsidP="00D7276A">
      <w:r>
        <w:t xml:space="preserve">Economic assessments are fundamentally about telling the story of economic cost and impact. A coherent economic impact story needs to combine not only monetised evidence, but also quantitative (non-monetised) and qualitative (descriptive and theoretical) evidence. Our methodology follows the principles set out in the </w:t>
      </w:r>
      <w:r w:rsidRPr="00D37B69">
        <w:t xml:space="preserve">Magenta Book </w:t>
      </w:r>
      <w:r>
        <w:t>[</w:t>
      </w:r>
      <w:r w:rsidRPr="00D37B69">
        <w:rPr>
          <w:rStyle w:val="EndnoteReference"/>
        </w:rPr>
        <w:endnoteReference w:id="16"/>
      </w:r>
      <w:r>
        <w:t>]</w:t>
      </w:r>
      <w:r>
        <w:rPr>
          <w:i/>
        </w:rPr>
        <w:t xml:space="preserve"> </w:t>
      </w:r>
      <w:r w:rsidRPr="00D37B69">
        <w:t>and the Green Book</w:t>
      </w:r>
      <w:r>
        <w:t xml:space="preserve"> [</w:t>
      </w:r>
      <w:r w:rsidRPr="00466977">
        <w:rPr>
          <w:rStyle w:val="EndnoteReference"/>
        </w:rPr>
        <w:endnoteReference w:id="17"/>
      </w:r>
      <w:r>
        <w:t>]</w:t>
      </w:r>
      <w:r w:rsidRPr="00D37B69">
        <w:t>, both published by HM Treasury. The former sets out standards for conducting evaluations, while the latter sets out the procedures and standards around economic appraisals.</w:t>
      </w:r>
    </w:p>
    <w:p w14:paraId="779E94A3" w14:textId="77777777" w:rsidR="002B5543" w:rsidRDefault="002B5543" w:rsidP="00805C2B"/>
    <w:p w14:paraId="2143B84C" w14:textId="63957461" w:rsidR="002B5543" w:rsidRPr="00805C2B" w:rsidRDefault="002B5543" w:rsidP="00805C2B">
      <w:r w:rsidRPr="00805C2B">
        <w:t xml:space="preserve">HM Treasury guidance </w:t>
      </w:r>
      <w:r>
        <w:t xml:space="preserve">sets out the </w:t>
      </w:r>
      <w:r w:rsidRPr="00805C2B">
        <w:t xml:space="preserve">following </w:t>
      </w:r>
      <w:r>
        <w:t>prompts to be considered</w:t>
      </w:r>
      <w:r w:rsidRPr="00805C2B">
        <w:t xml:space="preserve"> for an economic assessment:</w:t>
      </w:r>
    </w:p>
    <w:p w14:paraId="3E020617" w14:textId="6E7E6E49" w:rsidR="002B5543" w:rsidRPr="007B0CAC" w:rsidRDefault="002B5543" w:rsidP="00361C02">
      <w:pPr>
        <w:pStyle w:val="ListParagraph"/>
        <w:numPr>
          <w:ilvl w:val="0"/>
          <w:numId w:val="24"/>
        </w:numPr>
      </w:pPr>
      <w:r w:rsidRPr="007B0CAC">
        <w:t>What are the direct and indirect resources</w:t>
      </w:r>
      <w:r>
        <w:t xml:space="preserve"> [</w:t>
      </w:r>
      <w:r w:rsidRPr="00466977">
        <w:rPr>
          <w:rStyle w:val="EndnoteReference"/>
        </w:rPr>
        <w:endnoteReference w:id="18"/>
      </w:r>
      <w:r>
        <w:t>]</w:t>
      </w:r>
      <w:r w:rsidRPr="007B0CAC">
        <w:t xml:space="preserve"> involved in implementing an intervention – i.e. what is the ‘true economic cost’ of the intervention?</w:t>
      </w:r>
    </w:p>
    <w:p w14:paraId="6EB068F5" w14:textId="4C0DFA4E" w:rsidR="002B5543" w:rsidRPr="007B0CAC" w:rsidRDefault="002B5543" w:rsidP="00361C02">
      <w:pPr>
        <w:pStyle w:val="ListParagraph"/>
        <w:numPr>
          <w:ilvl w:val="0"/>
          <w:numId w:val="24"/>
        </w:numPr>
      </w:pPr>
      <w:r w:rsidRPr="007B0CAC">
        <w:t>Whe</w:t>
      </w:r>
      <w:r>
        <w:t xml:space="preserve">re do these fall – i.e. </w:t>
      </w:r>
      <w:r w:rsidRPr="007B0CAC">
        <w:t>who i</w:t>
      </w:r>
      <w:r>
        <w:t>ncurs what costs</w:t>
      </w:r>
      <w:r w:rsidRPr="007B0CAC">
        <w:t>?</w:t>
      </w:r>
    </w:p>
    <w:p w14:paraId="00B77F96" w14:textId="5BDFDED2" w:rsidR="002B5543" w:rsidRPr="007B0CAC" w:rsidRDefault="002B5543" w:rsidP="00361C02">
      <w:pPr>
        <w:pStyle w:val="ListParagraph"/>
        <w:numPr>
          <w:ilvl w:val="0"/>
          <w:numId w:val="24"/>
        </w:numPr>
      </w:pPr>
      <w:r w:rsidRPr="007B0CAC">
        <w:t>Can benefits be attributed to the intervention, or what proportion of the benefit can be explained by the intervention</w:t>
      </w:r>
      <w:r>
        <w:t>?</w:t>
      </w:r>
      <w:r w:rsidRPr="007B0CAC">
        <w:t xml:space="preserve"> – i.e. was it the intervention and not some other factor that directly brought about the benefits?</w:t>
      </w:r>
    </w:p>
    <w:p w14:paraId="1AA64548" w14:textId="709D7724" w:rsidR="002B5543" w:rsidRPr="007B0CAC" w:rsidRDefault="002B5543" w:rsidP="00361C02">
      <w:pPr>
        <w:pStyle w:val="ListParagraph"/>
        <w:numPr>
          <w:ilvl w:val="0"/>
          <w:numId w:val="24"/>
        </w:numPr>
      </w:pPr>
      <w:r w:rsidRPr="007B0CAC">
        <w:t>What benefits are brought about by the intervention, both tangible and intangible, an</w:t>
      </w:r>
      <w:r>
        <w:t>d where do these accrue? – i.e. who benefits from what</w:t>
      </w:r>
      <w:r w:rsidRPr="007B0CAC">
        <w:t>?</w:t>
      </w:r>
    </w:p>
    <w:p w14:paraId="77BC9FF0" w14:textId="65DBFDE1" w:rsidR="002B5543" w:rsidRPr="007B0CAC" w:rsidRDefault="002B5543" w:rsidP="00361C02">
      <w:pPr>
        <w:pStyle w:val="ListParagraph"/>
        <w:numPr>
          <w:ilvl w:val="0"/>
          <w:numId w:val="24"/>
        </w:numPr>
      </w:pPr>
      <w:r w:rsidRPr="007B0CAC">
        <w:t>Has the principle of ‘additionality’ been applied to both costs and benefits</w:t>
      </w:r>
      <w:r>
        <w:t xml:space="preserve"> [</w:t>
      </w:r>
      <w:r w:rsidRPr="00466977">
        <w:rPr>
          <w:rStyle w:val="EndnoteReference"/>
        </w:rPr>
        <w:endnoteReference w:id="19"/>
      </w:r>
      <w:r>
        <w:t>]</w:t>
      </w:r>
      <w:r w:rsidRPr="007B0CAC">
        <w:t>?</w:t>
      </w:r>
    </w:p>
    <w:p w14:paraId="5C10EE30" w14:textId="217A57DD" w:rsidR="002B5543" w:rsidRDefault="002B5543" w:rsidP="00361C02">
      <w:pPr>
        <w:pStyle w:val="ListParagraph"/>
        <w:numPr>
          <w:ilvl w:val="0"/>
          <w:numId w:val="24"/>
        </w:numPr>
      </w:pPr>
      <w:r w:rsidRPr="007B0CAC">
        <w:t>Has there been adequate accounting for potential optimism bias</w:t>
      </w:r>
      <w:r>
        <w:t xml:space="preserve"> [</w:t>
      </w:r>
      <w:r w:rsidRPr="00466977">
        <w:rPr>
          <w:rStyle w:val="EndnoteReference"/>
        </w:rPr>
        <w:endnoteReference w:id="20"/>
      </w:r>
      <w:r>
        <w:t>]</w:t>
      </w:r>
      <w:r w:rsidRPr="007B0CAC">
        <w:t xml:space="preserve"> and sensitivity analysis</w:t>
      </w:r>
      <w:r>
        <w:t xml:space="preserve"> [</w:t>
      </w:r>
      <w:r w:rsidRPr="00466977">
        <w:rPr>
          <w:rStyle w:val="EndnoteReference"/>
        </w:rPr>
        <w:endnoteReference w:id="21"/>
      </w:r>
      <w:r>
        <w:t>]</w:t>
      </w:r>
      <w:r w:rsidRPr="007B0CAC">
        <w:t>?</w:t>
      </w:r>
    </w:p>
    <w:p w14:paraId="1AC1AF27" w14:textId="66155955" w:rsidR="002B5543" w:rsidRDefault="002B5543" w:rsidP="00361C02">
      <w:pPr>
        <w:pStyle w:val="ListParagraph"/>
        <w:numPr>
          <w:ilvl w:val="0"/>
          <w:numId w:val="24"/>
        </w:numPr>
      </w:pPr>
      <w:r>
        <w:t>The following approaches underpinned the design of this work:</w:t>
      </w:r>
    </w:p>
    <w:p w14:paraId="2EB91A04" w14:textId="7981780F" w:rsidR="002B5543" w:rsidRDefault="002B5543" w:rsidP="00361C02">
      <w:pPr>
        <w:pStyle w:val="ListBullet"/>
        <w:numPr>
          <w:ilvl w:val="0"/>
          <w:numId w:val="24"/>
        </w:numPr>
      </w:pPr>
      <w:r>
        <w:t>A bottom-up approach to understanding the costs and benefits of vision rehabilitation to begin to address gaps in the available literature.</w:t>
      </w:r>
    </w:p>
    <w:p w14:paraId="735D85FC" w14:textId="3682F5CB" w:rsidR="002B5543" w:rsidRDefault="002B5543" w:rsidP="00361C02">
      <w:pPr>
        <w:pStyle w:val="ListBullet"/>
        <w:numPr>
          <w:ilvl w:val="0"/>
          <w:numId w:val="24"/>
        </w:numPr>
      </w:pPr>
      <w:r>
        <w:t>A case-study based design to ensure the research is based on a real-life scenario.</w:t>
      </w:r>
    </w:p>
    <w:p w14:paraId="2930116C" w14:textId="29672252" w:rsidR="002B5543" w:rsidRDefault="002B5543" w:rsidP="00361C02">
      <w:pPr>
        <w:pStyle w:val="ListBullet"/>
        <w:numPr>
          <w:ilvl w:val="0"/>
          <w:numId w:val="24"/>
        </w:numPr>
      </w:pPr>
      <w:r>
        <w:t>An assessment of similarities and differences between the case study site and generic approaches to vision rehabilitation to ensure we can draw meaningful and relevant conclusions.</w:t>
      </w:r>
    </w:p>
    <w:p w14:paraId="249C3DF1" w14:textId="2EB6F0BE" w:rsidR="002B5543" w:rsidRDefault="002B5543" w:rsidP="00361C02">
      <w:pPr>
        <w:pStyle w:val="ListBullet"/>
        <w:numPr>
          <w:ilvl w:val="0"/>
          <w:numId w:val="24"/>
        </w:numPr>
      </w:pPr>
      <w:r>
        <w:t>A systematic approach to identifying both the costs and benefits.</w:t>
      </w:r>
    </w:p>
    <w:p w14:paraId="5FA997A1" w14:textId="492DBE34" w:rsidR="002B5543" w:rsidRDefault="002B5543" w:rsidP="00361C02">
      <w:pPr>
        <w:pStyle w:val="ListBullet"/>
        <w:numPr>
          <w:ilvl w:val="0"/>
          <w:numId w:val="24"/>
        </w:numPr>
      </w:pPr>
      <w:r>
        <w:t>A robust and auditable approach to assigning financial value to outcomes, including identifying appropriate financial proxies where direct market values for outcomes are not available.</w:t>
      </w:r>
    </w:p>
    <w:p w14:paraId="00FE11FA" w14:textId="15A3A874" w:rsidR="002B5543" w:rsidRDefault="002B5543" w:rsidP="00361C02">
      <w:pPr>
        <w:pStyle w:val="ListBullet"/>
        <w:numPr>
          <w:ilvl w:val="0"/>
          <w:numId w:val="24"/>
        </w:numPr>
      </w:pPr>
      <w:r>
        <w:t>A transparent approach to calculations and underlying assumptions.</w:t>
      </w:r>
    </w:p>
    <w:p w14:paraId="164435EE" w14:textId="06D71636" w:rsidR="002B5543" w:rsidRDefault="002B5543" w:rsidP="00361C02">
      <w:pPr>
        <w:pStyle w:val="ListBullet"/>
        <w:numPr>
          <w:ilvl w:val="0"/>
          <w:numId w:val="24"/>
        </w:numPr>
      </w:pPr>
      <w:r>
        <w:t>Interview techniques that aim to uncover the extent to which outcomes can be attributed to the vision rehabilitation service (as opposed to other things).</w:t>
      </w:r>
    </w:p>
    <w:p w14:paraId="31E3DB30" w14:textId="77777777" w:rsidR="002B5543" w:rsidRDefault="002B5543" w:rsidP="0068669D"/>
    <w:p w14:paraId="047BD0F7" w14:textId="11E24E55" w:rsidR="002B5543" w:rsidRDefault="002B5543" w:rsidP="0068669D">
      <w:r>
        <w:t xml:space="preserve">In choosing a bottom-up case study approach, we ensured that we were able to drill down at depth into some of the gaps in existing evidence using both primary and secondary research, and quantitative and qualitative data. </w:t>
      </w:r>
    </w:p>
    <w:p w14:paraId="3FC2536B" w14:textId="6D635882" w:rsidR="002B5543" w:rsidRDefault="002B5543" w:rsidP="008D2715">
      <w:pPr>
        <w:pStyle w:val="Heading2"/>
      </w:pPr>
      <w:bookmarkStart w:id="28" w:name="_Toc485896964"/>
      <w:r>
        <w:t>2.2 The economic assessment technique</w:t>
      </w:r>
      <w:bookmarkEnd w:id="28"/>
      <w:r>
        <w:t xml:space="preserve"> </w:t>
      </w:r>
    </w:p>
    <w:p w14:paraId="5293BEB5" w14:textId="0812B4FD" w:rsidR="002B5543" w:rsidRDefault="002B5543" w:rsidP="0068669D">
      <w:r>
        <w:t xml:space="preserve">All economic assessments require the establishment of costs and benefits, however there are a number of different ways of doing this and different techniques are used for different purposes in different contexts.  </w:t>
      </w:r>
    </w:p>
    <w:p w14:paraId="491024CB" w14:textId="77777777" w:rsidR="002B5543" w:rsidRDefault="002B5543" w:rsidP="0068669D"/>
    <w:p w14:paraId="459C0908" w14:textId="4DAB8B69" w:rsidR="002B5543" w:rsidRDefault="002B5543" w:rsidP="0068669D">
      <w:r>
        <w:t xml:space="preserve">Our approach to identifying the impacts and value of vision rehabilitation services drew on a technique called cost-avoidance analysis. Unlike most other economic assessment approaches, cost-avoidance analysis does not require analysis of the specific positive outcomes achieved by a service or intervention in a way that other approaches do. Instead, cost-avoidance analysis involves looking at the positive benefits of a service from the perspective of the negative outcomes that are avoided when those positive benefits are achieved. For example, if a service or intervention results in improved wellbeing for service users, some economic analysis approaches would require the measurement of wellbeing. A cost-avoidance approach on the other hand poses the question of what would not achieving positive wellbeing look like, especially in relation to the costs involved in managing and treating the effects that arise from the absence of positive wellbeing. It therefore makes the argument that by achieving positive wellbeing, we have helped to avoid the costs involved in having to deal with its absence. </w:t>
      </w:r>
    </w:p>
    <w:p w14:paraId="4FCC5500" w14:textId="77777777" w:rsidR="002B5543" w:rsidRDefault="002B5543" w:rsidP="0068669D"/>
    <w:p w14:paraId="353C09B6" w14:textId="367F6181" w:rsidR="002B5543" w:rsidRDefault="002B5543" w:rsidP="0068669D">
      <w:r>
        <w:t xml:space="preserve">This approach is well-suited to preventative interventions or those that generate abstract, high-level outcomes that may be difficult to measure. It is important to note however that there is a difference between cost avoidance and cost savings, and the two should not be confused. Cost avoidance does not change current spending, but is about making the case that, had the intervention not been in place, the level of spending would have been higher. Cost avoidance analysis seeks to demonstrate that an intervention can help to contain and control cost increase, thereby potentially creating cost savings over time. </w:t>
      </w:r>
    </w:p>
    <w:p w14:paraId="129E9213" w14:textId="7E278C60" w:rsidR="002B5543" w:rsidRDefault="002B5543" w:rsidP="00260E8C">
      <w:pPr>
        <w:pStyle w:val="Heading2"/>
      </w:pPr>
      <w:bookmarkStart w:id="29" w:name="_Toc485896965"/>
      <w:r>
        <w:t>2.3 The process</w:t>
      </w:r>
      <w:bookmarkEnd w:id="29"/>
    </w:p>
    <w:p w14:paraId="1CAA2C29" w14:textId="408CC772" w:rsidR="002B5543" w:rsidRDefault="002B5543" w:rsidP="00E5098B">
      <w:r>
        <w:t>The stages of our methodology are outlined below and in Figure 1.</w:t>
      </w:r>
    </w:p>
    <w:p w14:paraId="78D8C20B" w14:textId="7C5CC53D" w:rsidR="002B5543" w:rsidRDefault="002B5543" w:rsidP="00B640EC">
      <w:pPr>
        <w:pStyle w:val="Heading3"/>
      </w:pPr>
      <w:r>
        <w:t>Mapping the vision rehabilitation process</w:t>
      </w:r>
    </w:p>
    <w:p w14:paraId="78F2BBA5" w14:textId="790CBDC2" w:rsidR="002B5543" w:rsidRDefault="002B5543" w:rsidP="00E5098B">
      <w:r>
        <w:t>We started by mapping the vision rehabilitation process to understand what such a service typically entails, then we documented the Sight for Surrey model of vision rehabilitation to understand the extent to which the service matches the generic vision rehabilitation map we had developed. See Chapter 3 for further detail about this stage.</w:t>
      </w:r>
    </w:p>
    <w:p w14:paraId="254F711A" w14:textId="1BC4C42E" w:rsidR="002B5543" w:rsidRDefault="002B5543" w:rsidP="00B640EC">
      <w:pPr>
        <w:pStyle w:val="Heading3"/>
      </w:pPr>
      <w:r>
        <w:t>Calculating costs</w:t>
      </w:r>
    </w:p>
    <w:p w14:paraId="5883B470" w14:textId="4960E574" w:rsidR="002B5543" w:rsidRDefault="002B5543" w:rsidP="00E5098B">
      <w:r>
        <w:t>Next, we calculated the costs involved in delivering the Sight for Surrey vision rehabilitation service through a combination of reviewing data available from the case study site and interviews with professionals to better understand the time they spend on each aspect of the service. See section 4.1 for further detail about this stage.</w:t>
      </w:r>
    </w:p>
    <w:p w14:paraId="1D6A64B8" w14:textId="5ADD5195" w:rsidR="002B5543" w:rsidRDefault="002B5543" w:rsidP="00B640EC">
      <w:pPr>
        <w:pStyle w:val="Heading3"/>
      </w:pPr>
      <w:r>
        <w:t>Identifying outcomes</w:t>
      </w:r>
    </w:p>
    <w:p w14:paraId="676066FC" w14:textId="065806F4" w:rsidR="002B5543" w:rsidRDefault="002B5543" w:rsidP="00E5098B">
      <w:r>
        <w:t xml:space="preserve">Alongside the identification of costs of service delivery, we also identified the outcomes experienced by service users as a result of the vision rehabilitation service. This included interviews with service users and professionals, followed by qualitative analysis to draw out the key themes in types of outcomes. Based on this primary research we then assigned measurable indicators to each of these outcomes. </w:t>
      </w:r>
    </w:p>
    <w:p w14:paraId="14E2EE00" w14:textId="77777777" w:rsidR="002B5543" w:rsidRDefault="002B5543" w:rsidP="00B640EC"/>
    <w:p w14:paraId="0EA06A3B" w14:textId="3CC60CB9" w:rsidR="002B5543" w:rsidRDefault="002B5543" w:rsidP="00B640EC">
      <w:r>
        <w:t xml:space="preserve">We reviewed the available published literature to identify secondary evidence that might support or challenge the outcomes we had identified through primary research. This ensured greater confidence that these outcomes are plausibly generated by vision rehabilitation services more generally, rather than only in the case study site. The literature review also enabled </w:t>
      </w:r>
      <w:r w:rsidRPr="009A1F36">
        <w:t xml:space="preserve">us to sense-check whether we </w:t>
      </w:r>
      <w:r>
        <w:t>had defined</w:t>
      </w:r>
      <w:r w:rsidRPr="009A1F36">
        <w:t xml:space="preserve"> specific outcomes appropriately</w:t>
      </w:r>
      <w:r>
        <w:t xml:space="preserve"> under the broader categories we identified.</w:t>
      </w:r>
      <w:r w:rsidRPr="009A1F36">
        <w:t xml:space="preserve"> </w:t>
      </w:r>
    </w:p>
    <w:p w14:paraId="26BFFA39" w14:textId="77777777" w:rsidR="002B5543" w:rsidRDefault="002B5543" w:rsidP="00E5098B"/>
    <w:p w14:paraId="0EBA97FE" w14:textId="1A32B7C0" w:rsidR="002B5543" w:rsidRDefault="002B5543" w:rsidP="00E5098B">
      <w:r>
        <w:t>See section 4.2 for further detail.</w:t>
      </w:r>
    </w:p>
    <w:p w14:paraId="12F2C08D" w14:textId="73189B72" w:rsidR="002B5543" w:rsidRDefault="002B5543" w:rsidP="00B640EC">
      <w:pPr>
        <w:pStyle w:val="Heading3"/>
      </w:pPr>
      <w:r>
        <w:t>Assigning financial values to outcomes</w:t>
      </w:r>
    </w:p>
    <w:p w14:paraId="05FE97C6" w14:textId="77777777" w:rsidR="002B5543" w:rsidRDefault="002B5543" w:rsidP="00E5098B">
      <w:r>
        <w:t xml:space="preserve">Using the available robust and authoritative literature we then assigned financial values to the identified outcomes. Where direct market values do not exist, we relied on published proxies from authoritative sources to ensure that, as far as possible, the evidence used in this research and the conclusions we have arrived at are robust within the constraints of available evidence. This technique is known as ‘benefit transfer’ and is common in economic assessments where primary monetisation, particularly of outcomes, may be unfeasible. </w:t>
      </w:r>
    </w:p>
    <w:p w14:paraId="2E496371" w14:textId="77777777" w:rsidR="002B5543" w:rsidRDefault="002B5543" w:rsidP="00E5098B"/>
    <w:p w14:paraId="3582D39C" w14:textId="6B581C7A" w:rsidR="002B5543" w:rsidRDefault="002B5543" w:rsidP="00E5098B">
      <w:r>
        <w:t>As part of this process we also looked to the published evidence for</w:t>
      </w:r>
      <w:r w:rsidRPr="00AA0454">
        <w:t xml:space="preserve"> any indication of likely 'effect size' (i.e</w:t>
      </w:r>
      <w:r>
        <w:t>.</w:t>
      </w:r>
      <w:r w:rsidRPr="00AA0454">
        <w:t xml:space="preserve"> what proportion of a service beneficiary population is likely to experience that spe</w:t>
      </w:r>
      <w:r>
        <w:t>cific outcome). This then allowed</w:t>
      </w:r>
      <w:r w:rsidRPr="00AA0454">
        <w:t xml:space="preserve"> us to estimate the size of that outcome in terms of financial value, as applied to the Sigh</w:t>
      </w:r>
      <w:r>
        <w:t xml:space="preserve">t for Surrey cohort. See section 4.3 for further detail about this stage. </w:t>
      </w:r>
    </w:p>
    <w:p w14:paraId="18059536" w14:textId="21F256CD" w:rsidR="002B5543" w:rsidRPr="004A6822" w:rsidRDefault="002B5543" w:rsidP="000F2235">
      <w:pPr>
        <w:pStyle w:val="Caption"/>
        <w:keepNext/>
        <w:rPr>
          <w:color w:val="auto"/>
          <w:sz w:val="28"/>
          <w:szCs w:val="28"/>
        </w:rPr>
      </w:pPr>
      <w:r w:rsidRPr="004A6822">
        <w:rPr>
          <w:color w:val="auto"/>
          <w:sz w:val="28"/>
          <w:szCs w:val="28"/>
        </w:rPr>
        <w:t xml:space="preserve">Figure </w:t>
      </w:r>
      <w:r w:rsidR="003944CD" w:rsidRPr="004A6822">
        <w:rPr>
          <w:color w:val="auto"/>
          <w:sz w:val="28"/>
          <w:szCs w:val="28"/>
        </w:rPr>
        <w:fldChar w:fldCharType="begin"/>
      </w:r>
      <w:r w:rsidR="003944CD" w:rsidRPr="004A6822">
        <w:rPr>
          <w:color w:val="auto"/>
          <w:sz w:val="28"/>
          <w:szCs w:val="28"/>
        </w:rPr>
        <w:instrText xml:space="preserve"> SEQ Figure \* ARABIC </w:instrText>
      </w:r>
      <w:r w:rsidR="003944CD" w:rsidRPr="004A6822">
        <w:rPr>
          <w:color w:val="auto"/>
          <w:sz w:val="28"/>
          <w:szCs w:val="28"/>
        </w:rPr>
        <w:fldChar w:fldCharType="separate"/>
      </w:r>
      <w:r w:rsidRPr="004A6822">
        <w:rPr>
          <w:noProof/>
          <w:color w:val="auto"/>
          <w:sz w:val="28"/>
          <w:szCs w:val="28"/>
        </w:rPr>
        <w:t>1</w:t>
      </w:r>
      <w:r w:rsidR="003944CD" w:rsidRPr="004A6822">
        <w:rPr>
          <w:noProof/>
          <w:color w:val="auto"/>
          <w:sz w:val="28"/>
          <w:szCs w:val="28"/>
        </w:rPr>
        <w:fldChar w:fldCharType="end"/>
      </w:r>
      <w:r w:rsidRPr="004A6822">
        <w:rPr>
          <w:color w:val="auto"/>
          <w:sz w:val="28"/>
          <w:szCs w:val="28"/>
        </w:rPr>
        <w:t xml:space="preserve">: OPM methodology for economic analysis of vision rehabilitation services.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2B5543" w14:paraId="09672B6C" w14:textId="77777777" w:rsidTr="00B74972">
        <w:tc>
          <w:tcPr>
            <w:tcW w:w="3020" w:type="dxa"/>
          </w:tcPr>
          <w:p w14:paraId="292F863E" w14:textId="7DB624DE" w:rsidR="002B5543" w:rsidRDefault="002B5543" w:rsidP="00361C02">
            <w:pPr>
              <w:pStyle w:val="ListParagraph"/>
              <w:numPr>
                <w:ilvl w:val="0"/>
                <w:numId w:val="20"/>
              </w:numPr>
            </w:pPr>
            <w:r>
              <w:t>Mapping the process</w:t>
            </w:r>
          </w:p>
        </w:tc>
        <w:tc>
          <w:tcPr>
            <w:tcW w:w="3021" w:type="dxa"/>
          </w:tcPr>
          <w:p w14:paraId="1F3DC2EE" w14:textId="3EEA14A9" w:rsidR="002B5543" w:rsidRDefault="002B5543" w:rsidP="00B86240">
            <w:r>
              <w:t>Reviewing generic vision rehabilitation service models</w:t>
            </w:r>
          </w:p>
        </w:tc>
        <w:tc>
          <w:tcPr>
            <w:tcW w:w="3021" w:type="dxa"/>
          </w:tcPr>
          <w:p w14:paraId="1F6BE61A" w14:textId="053E7B1B" w:rsidR="002B5543" w:rsidRDefault="002B5543" w:rsidP="00B86240">
            <w:r>
              <w:t>Documenting the case study site model</w:t>
            </w:r>
          </w:p>
        </w:tc>
      </w:tr>
      <w:tr w:rsidR="002B5543" w14:paraId="4F668382" w14:textId="77777777" w:rsidTr="00B74972">
        <w:tc>
          <w:tcPr>
            <w:tcW w:w="3020" w:type="dxa"/>
          </w:tcPr>
          <w:p w14:paraId="55F975A5" w14:textId="2DBD68F4" w:rsidR="002B5543" w:rsidRDefault="002B5543" w:rsidP="00361C02">
            <w:pPr>
              <w:pStyle w:val="ListParagraph"/>
              <w:numPr>
                <w:ilvl w:val="0"/>
                <w:numId w:val="20"/>
              </w:numPr>
            </w:pPr>
            <w:r>
              <w:t>Calculating the costs</w:t>
            </w:r>
          </w:p>
        </w:tc>
        <w:tc>
          <w:tcPr>
            <w:tcW w:w="3021" w:type="dxa"/>
          </w:tcPr>
          <w:p w14:paraId="5E23299C" w14:textId="75C8C308" w:rsidR="002B5543" w:rsidRDefault="002B5543" w:rsidP="00B86240">
            <w:r>
              <w:t>Interviews with professionals</w:t>
            </w:r>
          </w:p>
        </w:tc>
        <w:tc>
          <w:tcPr>
            <w:tcW w:w="3021" w:type="dxa"/>
          </w:tcPr>
          <w:p w14:paraId="06002A61" w14:textId="382BAE8E" w:rsidR="002B5543" w:rsidRDefault="002B5543" w:rsidP="00B86240">
            <w:r>
              <w:t>Reviewing data from case study site</w:t>
            </w:r>
          </w:p>
        </w:tc>
      </w:tr>
      <w:tr w:rsidR="002B5543" w14:paraId="32933AB8" w14:textId="77777777" w:rsidTr="00B74972">
        <w:tc>
          <w:tcPr>
            <w:tcW w:w="3020" w:type="dxa"/>
          </w:tcPr>
          <w:p w14:paraId="2ACFFBE1" w14:textId="0C13376A" w:rsidR="002B5543" w:rsidRDefault="002B5543" w:rsidP="00361C02">
            <w:pPr>
              <w:pStyle w:val="ListParagraph"/>
              <w:numPr>
                <w:ilvl w:val="0"/>
                <w:numId w:val="20"/>
              </w:numPr>
            </w:pPr>
            <w:r>
              <w:t>Identifying outcomes</w:t>
            </w:r>
          </w:p>
        </w:tc>
        <w:tc>
          <w:tcPr>
            <w:tcW w:w="3021" w:type="dxa"/>
          </w:tcPr>
          <w:p w14:paraId="07FE9E90" w14:textId="376F063C" w:rsidR="002B5543" w:rsidRDefault="002B5543" w:rsidP="00B86240">
            <w:r>
              <w:t>Interviews with professionals and service users</w:t>
            </w:r>
          </w:p>
        </w:tc>
        <w:tc>
          <w:tcPr>
            <w:tcW w:w="3021" w:type="dxa"/>
          </w:tcPr>
          <w:p w14:paraId="4E15BA27" w14:textId="6D72413C" w:rsidR="002B5543" w:rsidRDefault="002B5543" w:rsidP="00B86240">
            <w:r>
              <w:t>Assigning indicators</w:t>
            </w:r>
          </w:p>
        </w:tc>
      </w:tr>
      <w:tr w:rsidR="002B5543" w14:paraId="26435094" w14:textId="77777777" w:rsidTr="00B74972">
        <w:tc>
          <w:tcPr>
            <w:tcW w:w="3020" w:type="dxa"/>
          </w:tcPr>
          <w:p w14:paraId="5540626F" w14:textId="55DE9EBF" w:rsidR="002B5543" w:rsidRDefault="002B5543" w:rsidP="00361C02">
            <w:pPr>
              <w:pStyle w:val="ListParagraph"/>
              <w:numPr>
                <w:ilvl w:val="0"/>
                <w:numId w:val="20"/>
              </w:numPr>
            </w:pPr>
            <w:r>
              <w:t>Assigning financial values to outcomes</w:t>
            </w:r>
          </w:p>
        </w:tc>
        <w:tc>
          <w:tcPr>
            <w:tcW w:w="3021" w:type="dxa"/>
          </w:tcPr>
          <w:p w14:paraId="220D2201" w14:textId="27FBD68A" w:rsidR="002B5543" w:rsidRDefault="002B5543" w:rsidP="00B86240">
            <w:r>
              <w:t>Literature review based on identified outcomes and indicators</w:t>
            </w:r>
          </w:p>
        </w:tc>
        <w:tc>
          <w:tcPr>
            <w:tcW w:w="3021" w:type="dxa"/>
          </w:tcPr>
          <w:p w14:paraId="6CDE467E" w14:textId="2A0FEC51" w:rsidR="002B5543" w:rsidRDefault="002B5543" w:rsidP="00B86240">
            <w:r>
              <w:t>Identifying suitable proxy measures</w:t>
            </w:r>
          </w:p>
        </w:tc>
      </w:tr>
    </w:tbl>
    <w:p w14:paraId="0D2DE386" w14:textId="21EE9B24" w:rsidR="002B5543" w:rsidRDefault="002B5543" w:rsidP="00657C4C">
      <w:pPr>
        <w:pStyle w:val="Heading2"/>
      </w:pPr>
      <w:bookmarkStart w:id="30" w:name="_Toc485896966"/>
      <w:r>
        <w:t>2.4 Data collection methods</w:t>
      </w:r>
      <w:bookmarkEnd w:id="30"/>
    </w:p>
    <w:p w14:paraId="7A9C2DBB" w14:textId="24C82F71" w:rsidR="002B5543" w:rsidRPr="000F71F4" w:rsidRDefault="002B5543" w:rsidP="000F71F4">
      <w:r>
        <w:t xml:space="preserve">The case study was supported by the following data collection methods. </w:t>
      </w:r>
    </w:p>
    <w:p w14:paraId="72CD2221" w14:textId="0025D3A1" w:rsidR="002B5543" w:rsidRDefault="002B5543" w:rsidP="00657C4C">
      <w:pPr>
        <w:pStyle w:val="Heading3"/>
      </w:pPr>
      <w:r>
        <w:t>Data review based on a sample of Sight for Surrey service users</w:t>
      </w:r>
    </w:p>
    <w:p w14:paraId="27E92AB3" w14:textId="393E5C92" w:rsidR="002B5543" w:rsidRDefault="002B5543" w:rsidP="00AA0454">
      <w:r>
        <w:t xml:space="preserve">Two sub-samples of Sight for Surrey service users were identified through stratified random sampling, based on a set of agreed criteria. Sight for Surrey provided quantitative and qualitative data for each individual in the sub-samples including information about the support they had received and demographic information about themselves and their eye condition. </w:t>
      </w:r>
    </w:p>
    <w:p w14:paraId="029AC015" w14:textId="77777777" w:rsidR="002B5543" w:rsidRDefault="002B5543" w:rsidP="00AA0454"/>
    <w:p w14:paraId="3CE42653" w14:textId="671DF05B" w:rsidR="002B5543" w:rsidRPr="00AA0454" w:rsidRDefault="002B5543" w:rsidP="00AA0454">
      <w:r>
        <w:t>This information was used to a) develop the process map of vision rehabilitation services, b) provide indicative quantitative data about the time, equipment and other resources involved in providing such a service and c) inform the topic guides for interviews with both service users and professionals. The two sub-samples are described below:</w:t>
      </w:r>
    </w:p>
    <w:p w14:paraId="37867AD4" w14:textId="77777777" w:rsidR="002B5543" w:rsidRDefault="002B5543" w:rsidP="008E5CF8">
      <w:pPr>
        <w:rPr>
          <w:b/>
        </w:rPr>
      </w:pPr>
    </w:p>
    <w:p w14:paraId="2588A22E" w14:textId="41C4D75A" w:rsidR="002B5543" w:rsidRPr="008E5CF8" w:rsidRDefault="002B5543" w:rsidP="008E5CF8">
      <w:pPr>
        <w:rPr>
          <w:b/>
        </w:rPr>
      </w:pPr>
      <w:r w:rsidRPr="008E5CF8">
        <w:rPr>
          <w:b/>
        </w:rPr>
        <w:t xml:space="preserve">Group 1: Service users of different age ranges receiving </w:t>
      </w:r>
      <w:r>
        <w:rPr>
          <w:b/>
        </w:rPr>
        <w:t>in-depth</w:t>
      </w:r>
      <w:r w:rsidRPr="008E5CF8">
        <w:rPr>
          <w:b/>
        </w:rPr>
        <w:t xml:space="preserve"> rehabilitation</w:t>
      </w:r>
    </w:p>
    <w:p w14:paraId="1443B7D4" w14:textId="7A77E092" w:rsidR="002B5543" w:rsidRDefault="002B5543" w:rsidP="00373473">
      <w:pPr>
        <w:pStyle w:val="ListParagraph"/>
      </w:pPr>
      <w:r>
        <w:t>A</w:t>
      </w:r>
      <w:r w:rsidRPr="008E5CF8">
        <w:t xml:space="preserve"> sub-sample </w:t>
      </w:r>
      <w:r>
        <w:t xml:space="preserve">of 20 </w:t>
      </w:r>
      <w:r w:rsidRPr="008E5CF8">
        <w:t xml:space="preserve">was drawn from </w:t>
      </w:r>
      <w:r>
        <w:t>the</w:t>
      </w:r>
      <w:r w:rsidRPr="008E5CF8">
        <w:t xml:space="preserve"> </w:t>
      </w:r>
      <w:r>
        <w:t xml:space="preserve">approximately </w:t>
      </w:r>
      <w:r w:rsidRPr="008E5CF8">
        <w:t xml:space="preserve">100 individuals receiving </w:t>
      </w:r>
      <w:r>
        <w:t>in-depth</w:t>
      </w:r>
      <w:r w:rsidRPr="008E5CF8">
        <w:t xml:space="preserve"> rehabilitation services</w:t>
      </w:r>
      <w:r>
        <w:t xml:space="preserve"> from Sight for Surrey following the specialist assessment. The sub-sample was selected to ensure there were service users aged both 65 and older and service users aged below 65. These age categories were chosen to enable us to</w:t>
      </w:r>
      <w:r w:rsidRPr="008E5CF8">
        <w:t xml:space="preserve"> identify</w:t>
      </w:r>
      <w:r>
        <w:t xml:space="preserve"> whether different outcomes were experienced by those within the older cohort and those</w:t>
      </w:r>
      <w:r w:rsidRPr="008E5CF8">
        <w:t xml:space="preserve"> </w:t>
      </w:r>
      <w:r>
        <w:t xml:space="preserve">of working age whose life contexts, responsibilities and support networks may differ considerably. </w:t>
      </w:r>
    </w:p>
    <w:p w14:paraId="63EF48E2" w14:textId="77777777" w:rsidR="002B5543" w:rsidRDefault="002B5543" w:rsidP="00173142"/>
    <w:p w14:paraId="08900A15" w14:textId="41728A18" w:rsidR="002B5543" w:rsidRPr="008E5CF8" w:rsidRDefault="002B5543" w:rsidP="008E5CF8">
      <w:pPr>
        <w:rPr>
          <w:b/>
        </w:rPr>
      </w:pPr>
      <w:r w:rsidRPr="008E5CF8">
        <w:rPr>
          <w:b/>
        </w:rPr>
        <w:t>Group 2: Service users having received equipment</w:t>
      </w:r>
    </w:p>
    <w:p w14:paraId="4F6E98E5" w14:textId="575CE55D" w:rsidR="002B5543" w:rsidRDefault="002B5543" w:rsidP="00373473">
      <w:pPr>
        <w:pStyle w:val="ListParagraph"/>
      </w:pPr>
      <w:r>
        <w:t>A</w:t>
      </w:r>
      <w:r w:rsidRPr="008E5CF8">
        <w:t xml:space="preserve"> second sub-sample </w:t>
      </w:r>
      <w:r>
        <w:t xml:space="preserve">of 25 </w:t>
      </w:r>
      <w:r w:rsidRPr="008E5CF8">
        <w:t>consisted of service user</w:t>
      </w:r>
      <w:r>
        <w:t>s</w:t>
      </w:r>
      <w:r w:rsidRPr="008E5CF8">
        <w:t xml:space="preserve"> who received equipment</w:t>
      </w:r>
      <w:r>
        <w:t xml:space="preserve"> as a result of the specialist assessment (but were not referred on to further in-depth rehabilitation) drawn from a pool of approximately 330 individuals [</w:t>
      </w:r>
      <w:r>
        <w:rPr>
          <w:rStyle w:val="EndnoteReference"/>
        </w:rPr>
        <w:endnoteReference w:id="22"/>
      </w:r>
      <w:r>
        <w:t>].</w:t>
      </w:r>
      <w:r w:rsidRPr="008E5CF8">
        <w:t xml:space="preserve"> </w:t>
      </w:r>
      <w:r>
        <w:t>This</w:t>
      </w:r>
      <w:r w:rsidRPr="008E5CF8">
        <w:t xml:space="preserve"> </w:t>
      </w:r>
      <w:r>
        <w:t>sub-sample allowed</w:t>
      </w:r>
      <w:r w:rsidRPr="008E5CF8">
        <w:t xml:space="preserve"> </w:t>
      </w:r>
      <w:r>
        <w:t xml:space="preserve">an exploration of </w:t>
      </w:r>
      <w:r w:rsidRPr="008E5CF8">
        <w:t xml:space="preserve">how outcomes </w:t>
      </w:r>
      <w:r>
        <w:t xml:space="preserve">may be different </w:t>
      </w:r>
      <w:r w:rsidRPr="008E5CF8">
        <w:t xml:space="preserve">for </w:t>
      </w:r>
      <w:r>
        <w:t>service</w:t>
      </w:r>
      <w:r w:rsidRPr="008E5CF8">
        <w:t xml:space="preserve"> users who received equipment with</w:t>
      </w:r>
      <w:r>
        <w:t>out more in-</w:t>
      </w:r>
      <w:r w:rsidRPr="008E5CF8">
        <w:t xml:space="preserve">depth </w:t>
      </w:r>
      <w:r>
        <w:t xml:space="preserve">rehabilitation </w:t>
      </w:r>
      <w:r w:rsidRPr="008E5CF8">
        <w:t>support</w:t>
      </w:r>
      <w:r>
        <w:t>;</w:t>
      </w:r>
      <w:r w:rsidRPr="008E5CF8">
        <w:t xml:space="preserve"> how different forms of equipment contributed to outcomes</w:t>
      </w:r>
      <w:r>
        <w:t xml:space="preserve">; and </w:t>
      </w:r>
      <w:r w:rsidRPr="008E5CF8">
        <w:t>how the cost</w:t>
      </w:r>
      <w:r>
        <w:t xml:space="preserve">s of different equipment were met, for example, </w:t>
      </w:r>
      <w:r w:rsidRPr="008E5CF8">
        <w:t>in what</w:t>
      </w:r>
      <w:r>
        <w:t xml:space="preserve"> circumstances the service user</w:t>
      </w:r>
      <w:r w:rsidRPr="008E5CF8">
        <w:t xml:space="preserve"> contribute</w:t>
      </w:r>
      <w:r>
        <w:t>d</w:t>
      </w:r>
      <w:r w:rsidRPr="008E5CF8">
        <w:t xml:space="preserve"> to the cost</w:t>
      </w:r>
      <w:r>
        <w:t>.</w:t>
      </w:r>
    </w:p>
    <w:p w14:paraId="350C242E" w14:textId="77777777" w:rsidR="002B5543" w:rsidRDefault="002B5543" w:rsidP="007B0CAC"/>
    <w:p w14:paraId="0CF43BC3" w14:textId="74D45EF4" w:rsidR="002B5543" w:rsidRDefault="002B5543" w:rsidP="0070595B">
      <w:r w:rsidRPr="008E5CF8">
        <w:t xml:space="preserve">In practice, </w:t>
      </w:r>
      <w:r>
        <w:t>most</w:t>
      </w:r>
      <w:r w:rsidRPr="008E5CF8">
        <w:t xml:space="preserve"> service user</w:t>
      </w:r>
      <w:r>
        <w:t>s</w:t>
      </w:r>
      <w:r w:rsidRPr="008E5CF8">
        <w:t xml:space="preserve"> in the Group 1 sample also received equipment, </w:t>
      </w:r>
      <w:r>
        <w:t>and those in the Group 2 would also have received some training and emotional support during their specialist assessment in addition to equipment. Although the distinction between the two groups is not clear-cut, the sub-sampling approach allowed for a more nuanced understanding of service user outcomes by age and type of rehabilitation support received</w:t>
      </w:r>
      <w:r w:rsidRPr="008E5CF8">
        <w:t xml:space="preserve">. </w:t>
      </w:r>
    </w:p>
    <w:p w14:paraId="76D1B393" w14:textId="74521B75" w:rsidR="002B5543" w:rsidRPr="00803132" w:rsidRDefault="002B5543" w:rsidP="00AA0454">
      <w:pPr>
        <w:pStyle w:val="Heading3"/>
      </w:pPr>
      <w:r w:rsidRPr="00803132">
        <w:t>Interviews – S</w:t>
      </w:r>
      <w:r>
        <w:t>ight for Surrey s</w:t>
      </w:r>
      <w:r w:rsidRPr="00803132">
        <w:t>ervice users</w:t>
      </w:r>
    </w:p>
    <w:p w14:paraId="1D9A6A0C" w14:textId="3B8EE3C3" w:rsidR="002B5543" w:rsidRPr="008E5CF8" w:rsidRDefault="002B5543" w:rsidP="007B0CAC">
      <w:r>
        <w:t>In-depth i</w:t>
      </w:r>
      <w:r w:rsidRPr="008E5CF8">
        <w:t>nterview</w:t>
      </w:r>
      <w:r>
        <w:t>s with</w:t>
      </w:r>
      <w:r w:rsidRPr="008E5CF8">
        <w:t xml:space="preserve"> </w:t>
      </w:r>
      <w:r>
        <w:t>14 Sight for Surrey vision rehabilitation service users</w:t>
      </w:r>
      <w:r w:rsidRPr="008E5CF8">
        <w:t xml:space="preserve"> </w:t>
      </w:r>
      <w:r>
        <w:t>(eight from Group 1 and six from Group 2) were carried out. The purpose of these interviews was to develop</w:t>
      </w:r>
      <w:r w:rsidRPr="008E5CF8">
        <w:t xml:space="preserve"> </w:t>
      </w:r>
      <w:r>
        <w:t>a deeper</w:t>
      </w:r>
      <w:r w:rsidRPr="008E5CF8">
        <w:t xml:space="preserve"> understand</w:t>
      </w:r>
      <w:r>
        <w:t>ing of</w:t>
      </w:r>
      <w:r w:rsidRPr="008E5CF8">
        <w:t xml:space="preserve"> outcomes from the</w:t>
      </w:r>
      <w:r>
        <w:t xml:space="preserve"> service user</w:t>
      </w:r>
      <w:r w:rsidRPr="008E5CF8">
        <w:t xml:space="preserve"> perspective</w:t>
      </w:r>
      <w:r>
        <w:t xml:space="preserve"> and</w:t>
      </w:r>
      <w:r w:rsidRPr="008E5CF8">
        <w:t xml:space="preserve"> to understand whether outcomes</w:t>
      </w:r>
      <w:r>
        <w:t xml:space="preserve"> achieved</w:t>
      </w:r>
      <w:r w:rsidRPr="008E5CF8">
        <w:t xml:space="preserve"> may be plausibly attributed to the vision rehabilitation service (and not </w:t>
      </w:r>
      <w:r>
        <w:t>other factors</w:t>
      </w:r>
      <w:r w:rsidRPr="008E5CF8">
        <w:t xml:space="preserve">). </w:t>
      </w:r>
    </w:p>
    <w:p w14:paraId="37A2E911" w14:textId="35E90A89" w:rsidR="002B5543" w:rsidRPr="00893A32" w:rsidRDefault="002B5543" w:rsidP="00657C4C">
      <w:pPr>
        <w:pStyle w:val="Heading3"/>
      </w:pPr>
      <w:r w:rsidRPr="00893A32">
        <w:t xml:space="preserve">Interviews – Sight for Surrey professionals </w:t>
      </w:r>
    </w:p>
    <w:p w14:paraId="421B4B34" w14:textId="5E763EC4" w:rsidR="002B5543" w:rsidRPr="00893A32" w:rsidRDefault="002B5543" w:rsidP="007B0CAC">
      <w:r>
        <w:t xml:space="preserve">Interviews with ten Sight for Surrey professionals were carried out. </w:t>
      </w:r>
      <w:r w:rsidRPr="00893A32">
        <w:t xml:space="preserve">The purpose of these interviews was to </w:t>
      </w:r>
      <w:r>
        <w:t>identify</w:t>
      </w:r>
      <w:r w:rsidRPr="00893A32">
        <w:t xml:space="preserve"> any non-recorded or indirect costs involved in delivering the vision rehabilitation service; </w:t>
      </w:r>
      <w:r>
        <w:t xml:space="preserve">gather </w:t>
      </w:r>
      <w:r w:rsidRPr="00893A32">
        <w:t xml:space="preserve">evidence of outcomes from the perspective of professionals; </w:t>
      </w:r>
      <w:r>
        <w:t xml:space="preserve">obtain </w:t>
      </w:r>
      <w:r w:rsidRPr="00893A32">
        <w:t xml:space="preserve">further estimates of activity volume and/or duration; </w:t>
      </w:r>
      <w:r>
        <w:t>and understand the</w:t>
      </w:r>
      <w:r w:rsidRPr="00893A32">
        <w:t xml:space="preserve"> proportionality of various activities</w:t>
      </w:r>
      <w:r>
        <w:t xml:space="preserve"> and outcomes where possible</w:t>
      </w:r>
      <w:r w:rsidRPr="00893A32">
        <w:t>.</w:t>
      </w:r>
    </w:p>
    <w:p w14:paraId="3FE94935" w14:textId="74DB9FC6" w:rsidR="002B5543" w:rsidRPr="000F71F4" w:rsidRDefault="002B5543" w:rsidP="00657C4C">
      <w:pPr>
        <w:pStyle w:val="Heading3"/>
      </w:pPr>
      <w:r>
        <w:t>Review of service</w:t>
      </w:r>
      <w:r w:rsidRPr="000F71F4">
        <w:t xml:space="preserve"> data </w:t>
      </w:r>
    </w:p>
    <w:p w14:paraId="73AA4201" w14:textId="40AC3C2D" w:rsidR="002B5543" w:rsidRPr="000F71F4" w:rsidRDefault="002B5543" w:rsidP="00657C4C">
      <w:r>
        <w:t>Sight for Surrey service data,</w:t>
      </w:r>
      <w:r w:rsidRPr="000F71F4">
        <w:t xml:space="preserve"> </w:t>
      </w:r>
      <w:r>
        <w:t>including figures on</w:t>
      </w:r>
      <w:r w:rsidRPr="000F71F4">
        <w:t xml:space="preserve"> client volume, client characteristic</w:t>
      </w:r>
      <w:r>
        <w:t>s</w:t>
      </w:r>
      <w:r w:rsidRPr="000F71F4">
        <w:t xml:space="preserve"> (</w:t>
      </w:r>
      <w:r>
        <w:t>e.g. age, gender</w:t>
      </w:r>
      <w:r w:rsidRPr="000F71F4">
        <w:t xml:space="preserve">), volume of specific activities (e.g. specialist </w:t>
      </w:r>
      <w:r>
        <w:t>assessment</w:t>
      </w:r>
      <w:r w:rsidRPr="000F71F4">
        <w:t xml:space="preserve"> and in</w:t>
      </w:r>
      <w:r>
        <w:t>-depth rehabilitation sessions) and information on</w:t>
      </w:r>
      <w:r w:rsidRPr="000F71F4">
        <w:t xml:space="preserve"> intended outcomes</w:t>
      </w:r>
      <w:r>
        <w:t xml:space="preserve"> were reviewed</w:t>
      </w:r>
      <w:r w:rsidRPr="000F71F4">
        <w:t xml:space="preserve">. </w:t>
      </w:r>
    </w:p>
    <w:p w14:paraId="31417C56" w14:textId="384BC795" w:rsidR="002B5543" w:rsidRPr="000F71F4" w:rsidRDefault="002B5543" w:rsidP="00657C4C">
      <w:pPr>
        <w:pStyle w:val="Heading3"/>
      </w:pPr>
      <w:r w:rsidRPr="000F71F4">
        <w:t xml:space="preserve">Rapid evidence review </w:t>
      </w:r>
    </w:p>
    <w:p w14:paraId="7D844EEF" w14:textId="2828FDF4" w:rsidR="002B5543" w:rsidRDefault="002B5543" w:rsidP="00657C4C">
      <w:r>
        <w:t>A</w:t>
      </w:r>
      <w:r w:rsidRPr="000F71F4">
        <w:t xml:space="preserve"> rapid search of</w:t>
      </w:r>
      <w:r>
        <w:t xml:space="preserve"> authoritative and robust published evidence complemented the primary research and was</w:t>
      </w:r>
      <w:r w:rsidRPr="000F71F4">
        <w:t xml:space="preserve"> used </w:t>
      </w:r>
      <w:r>
        <w:t>to</w:t>
      </w:r>
      <w:r w:rsidRPr="000F71F4">
        <w:t xml:space="preserve"> </w:t>
      </w:r>
      <w:r>
        <w:t xml:space="preserve">support the attribution of </w:t>
      </w:r>
      <w:r w:rsidRPr="000F71F4">
        <w:t>specific outcomes to vision rehabilitation services</w:t>
      </w:r>
      <w:r>
        <w:t xml:space="preserve"> beyond the case study example</w:t>
      </w:r>
      <w:r w:rsidRPr="000F71F4">
        <w:t>. Where there is an absence of direct evidence on vision rehabilitation, we relied on evidence from similar fields (e.g.</w:t>
      </w:r>
      <w:r>
        <w:t xml:space="preserve"> reablement, independent living, occupational therapy</w:t>
      </w:r>
      <w:r w:rsidRPr="000F71F4">
        <w:t>)</w:t>
      </w:r>
      <w:r>
        <w:t xml:space="preserve"> as proxies for vision rehabilitation services. </w:t>
      </w:r>
    </w:p>
    <w:p w14:paraId="50EB57D3" w14:textId="77777777" w:rsidR="002B5543" w:rsidRDefault="002B5543" w:rsidP="00657C4C"/>
    <w:p w14:paraId="6392E0DD" w14:textId="1070C2BC" w:rsidR="002B5543" w:rsidRDefault="002B5543" w:rsidP="00657C4C">
      <w:r>
        <w:t>The evidence review was also used to check that our categorisation of overarching and specific outcomes was legitimate and relevant to vision rehabilitation services beyond the Sight for Surrey case study. The literature was also searched for evidence to enable us to identify or corroborate likely effect sizes of different outcomes, as well as the types of outcomes experienced by different sub-groups of service users.</w:t>
      </w:r>
    </w:p>
    <w:p w14:paraId="451B27E1" w14:textId="77777777" w:rsidR="002B5543" w:rsidRDefault="002B5543" w:rsidP="00BC5D09"/>
    <w:p w14:paraId="4D871BC6" w14:textId="0D274874" w:rsidR="002B5543" w:rsidRDefault="002B5543" w:rsidP="00BC5D09">
      <w:r>
        <w:t>This stage also included searching authoritative data repositories of accepted and evidenced financial values of health and social care services.</w:t>
      </w:r>
      <w:r w:rsidRPr="00C87089">
        <w:rPr>
          <w:rStyle w:val="EndnoteReference"/>
        </w:rPr>
        <w:t xml:space="preserve"> </w:t>
      </w:r>
      <w:r>
        <w:t>[</w:t>
      </w:r>
      <w:r>
        <w:rPr>
          <w:rStyle w:val="EndnoteReference"/>
        </w:rPr>
        <w:endnoteReference w:id="23"/>
      </w:r>
      <w:r>
        <w:t>] This enabled us to ensure accuracy of cost (and outcome value) calculations, w</w:t>
      </w:r>
      <w:r w:rsidRPr="00BA321A">
        <w:t>here direct market values were not available for specific activities</w:t>
      </w:r>
      <w:r>
        <w:t xml:space="preserve">, services and/or outcomes. </w:t>
      </w:r>
    </w:p>
    <w:p w14:paraId="5CC84C32" w14:textId="64C65A8E" w:rsidR="002B5543" w:rsidRDefault="002B5543" w:rsidP="00361C02">
      <w:pPr>
        <w:pStyle w:val="Heading1"/>
        <w:numPr>
          <w:ilvl w:val="0"/>
          <w:numId w:val="17"/>
        </w:numPr>
      </w:pPr>
      <w:bookmarkStart w:id="31" w:name="_Toc485896967"/>
      <w:r>
        <w:t>Understanding vision rehabilitation</w:t>
      </w:r>
      <w:bookmarkEnd w:id="31"/>
      <w:r>
        <w:t xml:space="preserve"> </w:t>
      </w:r>
    </w:p>
    <w:p w14:paraId="0C76B69B" w14:textId="25FA3182" w:rsidR="002B5543" w:rsidRDefault="002B5543" w:rsidP="00F03875">
      <w:pPr>
        <w:pStyle w:val="Heading2"/>
      </w:pPr>
      <w:bookmarkStart w:id="32" w:name="_Toc485896968"/>
      <w:r>
        <w:t>3.1 Components of a vision rehabilitation service</w:t>
      </w:r>
      <w:bookmarkEnd w:id="32"/>
      <w:r>
        <w:t xml:space="preserve"> </w:t>
      </w:r>
    </w:p>
    <w:p w14:paraId="3EEF60B3" w14:textId="628BE3F2" w:rsidR="002B5543" w:rsidRDefault="002B5543" w:rsidP="00061435">
      <w:r>
        <w:t xml:space="preserve">Vision rehabilitation services – whether provided by a team within a local authority or contracted to a community sector service provider – typically involve five key stages which are shown as a diagram in Figure 2 and outlined below. </w:t>
      </w:r>
    </w:p>
    <w:p w14:paraId="2BB4A491" w14:textId="77777777" w:rsidR="002B5543" w:rsidRDefault="002B5543" w:rsidP="00061435"/>
    <w:p w14:paraId="6E905013" w14:textId="146C4A41" w:rsidR="002B5543" w:rsidRDefault="002B5543" w:rsidP="00AF32EE">
      <w:r>
        <w:t>Not all clients referred into a vision rehabilitation service experience all the key stages; this depends upon the specific needs of each individual. Vision rehabilitation teams make r</w:t>
      </w:r>
      <w:r w:rsidRPr="00D67D10">
        <w:t xml:space="preserve">eferrals to </w:t>
      </w:r>
      <w:r>
        <w:t>other relevant</w:t>
      </w:r>
      <w:r w:rsidRPr="00D67D10">
        <w:t xml:space="preserve"> services during any </w:t>
      </w:r>
      <w:r>
        <w:t xml:space="preserve">of the </w:t>
      </w:r>
      <w:r w:rsidRPr="00D67D10">
        <w:t>stage</w:t>
      </w:r>
      <w:r>
        <w:t>s of the vision rehabilitation process when it is appropriate to the client’s need. Therefore, clients may leave the service after any of the stages, once their needs are met. Clients may also leave the service because they do not feel ready to engage, for example if their sight loss was recent and they have not yet come to terms with it; or they disengage for reasons unknown to the service.</w:t>
      </w:r>
    </w:p>
    <w:p w14:paraId="29B83170" w14:textId="77777777" w:rsidR="002B5543" w:rsidRDefault="002B5543" w:rsidP="00BD42C5"/>
    <w:p w14:paraId="1A16C679" w14:textId="1B2D08D2" w:rsidR="002B5543" w:rsidRPr="005A1716" w:rsidRDefault="002B5543" w:rsidP="00BD42C5">
      <w:r>
        <w:t xml:space="preserve">Typical vision rehabilitation services involve management staff, rehabilitation workers and administrative staff working together to provide the different elements of vision rehabilitation.  </w:t>
      </w:r>
    </w:p>
    <w:p w14:paraId="25F1ABF7" w14:textId="77777777" w:rsidR="00F83204" w:rsidRDefault="00F83204" w:rsidP="009A5DF5">
      <w:pPr>
        <w:pStyle w:val="Caption"/>
        <w:keepNext/>
        <w:rPr>
          <w:noProof/>
          <w:szCs w:val="28"/>
          <w:lang w:eastAsia="en-GB"/>
        </w:rPr>
      </w:pPr>
    </w:p>
    <w:p w14:paraId="30CC7BFF" w14:textId="3014B85E" w:rsidR="002B5543" w:rsidRDefault="002B5543" w:rsidP="009A5DF5">
      <w:pPr>
        <w:pStyle w:val="Caption"/>
        <w:keepNext/>
        <w:rPr>
          <w:color w:val="auto"/>
          <w:sz w:val="28"/>
          <w:szCs w:val="28"/>
        </w:rPr>
      </w:pPr>
      <w:r w:rsidRPr="009A2B28">
        <w:rPr>
          <w:color w:val="auto"/>
          <w:sz w:val="28"/>
          <w:szCs w:val="28"/>
        </w:rPr>
        <w:t xml:space="preserve">Figure </w:t>
      </w:r>
      <w:r w:rsidRPr="022DA057">
        <w:fldChar w:fldCharType="begin"/>
      </w:r>
      <w:r w:rsidRPr="009A2B28">
        <w:rPr>
          <w:color w:val="auto"/>
          <w:sz w:val="28"/>
          <w:szCs w:val="28"/>
        </w:rPr>
        <w:instrText xml:space="preserve"> SEQ Figure \* ARABIC </w:instrText>
      </w:r>
      <w:r w:rsidRPr="022DA057">
        <w:rPr>
          <w:color w:val="auto"/>
          <w:sz w:val="28"/>
          <w:szCs w:val="28"/>
        </w:rPr>
        <w:fldChar w:fldCharType="separate"/>
      </w:r>
      <w:r w:rsidRPr="009A2B28">
        <w:rPr>
          <w:color w:val="auto"/>
          <w:sz w:val="28"/>
          <w:szCs w:val="28"/>
        </w:rPr>
        <w:t>2</w:t>
      </w:r>
      <w:r w:rsidRPr="022DA057">
        <w:fldChar w:fldCharType="end"/>
      </w:r>
      <w:r w:rsidRPr="009A2B28">
        <w:rPr>
          <w:color w:val="auto"/>
          <w:sz w:val="28"/>
          <w:szCs w:val="28"/>
        </w:rPr>
        <w:t>: Key stages of a vision rehabilitation service</w:t>
      </w:r>
    </w:p>
    <w:p w14:paraId="7D6D3C51" w14:textId="77777777" w:rsidR="00F83204" w:rsidRDefault="00F83204" w:rsidP="00F83204">
      <w:pPr>
        <w:pStyle w:val="ListParagraph"/>
        <w:ind w:left="720"/>
      </w:pPr>
    </w:p>
    <w:p w14:paraId="7FA9729C" w14:textId="53F1C707" w:rsidR="00F83204" w:rsidRPr="00F83204" w:rsidRDefault="00F83204" w:rsidP="00F83204">
      <w:pPr>
        <w:pStyle w:val="ListParagraph"/>
        <w:numPr>
          <w:ilvl w:val="0"/>
          <w:numId w:val="45"/>
        </w:numPr>
        <w:rPr>
          <w:b/>
        </w:rPr>
      </w:pPr>
      <w:r w:rsidRPr="00F83204">
        <w:rPr>
          <w:b/>
        </w:rPr>
        <w:t>Referral stage</w:t>
      </w:r>
    </w:p>
    <w:p w14:paraId="60AACF87" w14:textId="4092358D" w:rsidR="00F83204" w:rsidRPr="00F83204" w:rsidRDefault="00F83204" w:rsidP="00F83204">
      <w:pPr>
        <w:pStyle w:val="ListParagraph"/>
        <w:numPr>
          <w:ilvl w:val="0"/>
          <w:numId w:val="45"/>
        </w:numPr>
        <w:rPr>
          <w:b/>
        </w:rPr>
      </w:pPr>
      <w:r w:rsidRPr="00F83204">
        <w:rPr>
          <w:b/>
        </w:rPr>
        <w:t>Initial assessment of client needs</w:t>
      </w:r>
    </w:p>
    <w:p w14:paraId="441D4BB9" w14:textId="4CC45946" w:rsidR="00F83204" w:rsidRPr="00F83204" w:rsidRDefault="00F83204" w:rsidP="00F83204">
      <w:pPr>
        <w:pStyle w:val="ListParagraph"/>
        <w:numPr>
          <w:ilvl w:val="0"/>
          <w:numId w:val="45"/>
        </w:numPr>
        <w:rPr>
          <w:b/>
        </w:rPr>
      </w:pPr>
      <w:r w:rsidRPr="00F83204">
        <w:rPr>
          <w:b/>
        </w:rPr>
        <w:t>Specialist Assessment</w:t>
      </w:r>
    </w:p>
    <w:p w14:paraId="23A1AE12" w14:textId="7F68B304" w:rsidR="00F83204" w:rsidRPr="00F83204" w:rsidRDefault="00F83204" w:rsidP="00F83204">
      <w:pPr>
        <w:pStyle w:val="ListParagraph"/>
        <w:numPr>
          <w:ilvl w:val="0"/>
          <w:numId w:val="45"/>
        </w:numPr>
        <w:rPr>
          <w:b/>
        </w:rPr>
      </w:pPr>
      <w:r w:rsidRPr="00F83204">
        <w:rPr>
          <w:b/>
        </w:rPr>
        <w:t>In-Depth Rehabilitation</w:t>
      </w:r>
    </w:p>
    <w:p w14:paraId="6EA89304" w14:textId="6F5E4E0F" w:rsidR="00F83204" w:rsidRPr="00F83204" w:rsidRDefault="00F83204" w:rsidP="00F83204">
      <w:pPr>
        <w:pStyle w:val="ListParagraph"/>
        <w:numPr>
          <w:ilvl w:val="0"/>
          <w:numId w:val="45"/>
        </w:numPr>
        <w:rPr>
          <w:b/>
        </w:rPr>
      </w:pPr>
      <w:r w:rsidRPr="00F83204">
        <w:rPr>
          <w:b/>
        </w:rPr>
        <w:t>Follow-up</w:t>
      </w:r>
    </w:p>
    <w:p w14:paraId="711736E7" w14:textId="649911EA" w:rsidR="003944CD" w:rsidRPr="003944CD" w:rsidRDefault="003944CD" w:rsidP="003944CD"/>
    <w:p w14:paraId="78B9FFCD" w14:textId="299A6112" w:rsidR="002B5543" w:rsidRPr="009D2204" w:rsidRDefault="002B5543" w:rsidP="00361C02">
      <w:pPr>
        <w:pStyle w:val="Heading3"/>
        <w:numPr>
          <w:ilvl w:val="0"/>
          <w:numId w:val="11"/>
        </w:numPr>
      </w:pPr>
      <w:r w:rsidRPr="009D2204">
        <w:t xml:space="preserve">Referral stage </w:t>
      </w:r>
    </w:p>
    <w:p w14:paraId="2984C925" w14:textId="035B460E" w:rsidR="002B5543" w:rsidRPr="00554C56" w:rsidRDefault="002B5543" w:rsidP="00361C02">
      <w:pPr>
        <w:pStyle w:val="ListBullet"/>
        <w:numPr>
          <w:ilvl w:val="0"/>
          <w:numId w:val="25"/>
        </w:numPr>
        <w:rPr>
          <w:lang w:val="en-US"/>
        </w:rPr>
      </w:pPr>
      <w:r>
        <w:t>C</w:t>
      </w:r>
      <w:r w:rsidRPr="00554C56">
        <w:t xml:space="preserve">lients are referred into the vision rehabilitation service </w:t>
      </w:r>
      <w:r>
        <w:t>through</w:t>
      </w:r>
      <w:r w:rsidRPr="00554C56">
        <w:t xml:space="preserve"> several</w:t>
      </w:r>
      <w:r>
        <w:t xml:space="preserve"> possible</w:t>
      </w:r>
      <w:r w:rsidRPr="00554C56">
        <w:t xml:space="preserve"> pathways</w:t>
      </w:r>
      <w:r>
        <w:t xml:space="preserve">, </w:t>
      </w:r>
      <w:r w:rsidRPr="00554C56">
        <w:t>includ</w:t>
      </w:r>
      <w:r>
        <w:t>ing</w:t>
      </w:r>
      <w:r w:rsidRPr="00554C56">
        <w:t xml:space="preserve">: </w:t>
      </w:r>
    </w:p>
    <w:p w14:paraId="6625682E" w14:textId="0F58FAA6" w:rsidR="002B5543" w:rsidRPr="00554C56" w:rsidRDefault="002B5543" w:rsidP="00361C02">
      <w:pPr>
        <w:pStyle w:val="ListBullet"/>
        <w:numPr>
          <w:ilvl w:val="0"/>
          <w:numId w:val="34"/>
        </w:numPr>
        <w:rPr>
          <w:lang w:val="en-US"/>
        </w:rPr>
      </w:pPr>
      <w:r w:rsidRPr="00554C56">
        <w:t xml:space="preserve">Certificate of Vision Impairment (CVI) </w:t>
      </w:r>
      <w:r>
        <w:t xml:space="preserve">– </w:t>
      </w:r>
      <w:r w:rsidRPr="00554C56">
        <w:t>this is the primary referral route</w:t>
      </w:r>
    </w:p>
    <w:p w14:paraId="441AA173" w14:textId="63946F72" w:rsidR="002B5543" w:rsidRPr="00554C56" w:rsidRDefault="002B5543" w:rsidP="00361C02">
      <w:pPr>
        <w:pStyle w:val="ListParagraph"/>
        <w:numPr>
          <w:ilvl w:val="0"/>
          <w:numId w:val="34"/>
        </w:numPr>
        <w:rPr>
          <w:lang w:val="en-US"/>
        </w:rPr>
      </w:pPr>
      <w:r w:rsidRPr="00554C56">
        <w:t xml:space="preserve">Self-referral or re-referral </w:t>
      </w:r>
      <w:r>
        <w:t>(for example, because their condition or situation has changed)</w:t>
      </w:r>
    </w:p>
    <w:p w14:paraId="4CB09277" w14:textId="7D20C811" w:rsidR="002B5543" w:rsidRPr="00554C56" w:rsidRDefault="002B5543" w:rsidP="00361C02">
      <w:pPr>
        <w:pStyle w:val="ListParagraph"/>
        <w:numPr>
          <w:ilvl w:val="0"/>
          <w:numId w:val="34"/>
        </w:numPr>
        <w:rPr>
          <w:lang w:val="en-US"/>
        </w:rPr>
      </w:pPr>
      <w:r w:rsidRPr="00554C56">
        <w:t>Eye Clinic Liaison Officers (ECLOs)</w:t>
      </w:r>
    </w:p>
    <w:p w14:paraId="2CEFC955" w14:textId="3754D476" w:rsidR="002B5543" w:rsidRPr="00554C56" w:rsidRDefault="002B5543" w:rsidP="00361C02">
      <w:pPr>
        <w:pStyle w:val="ListParagraph"/>
        <w:numPr>
          <w:ilvl w:val="0"/>
          <w:numId w:val="34"/>
        </w:numPr>
        <w:rPr>
          <w:lang w:val="en-US"/>
        </w:rPr>
      </w:pPr>
      <w:r w:rsidRPr="00554C56">
        <w:t>General Practitioners</w:t>
      </w:r>
    </w:p>
    <w:p w14:paraId="060B7D27" w14:textId="2D403ED4" w:rsidR="002B5543" w:rsidRPr="00554C56" w:rsidRDefault="002B5543" w:rsidP="00361C02">
      <w:pPr>
        <w:pStyle w:val="ListParagraph"/>
        <w:numPr>
          <w:ilvl w:val="0"/>
          <w:numId w:val="34"/>
        </w:numPr>
        <w:rPr>
          <w:lang w:val="en-US"/>
        </w:rPr>
      </w:pPr>
      <w:r>
        <w:t>T</w:t>
      </w:r>
      <w:r w:rsidRPr="00554C56">
        <w:t xml:space="preserve">hrough voluntary </w:t>
      </w:r>
      <w:r>
        <w:t xml:space="preserve">or community sector </w:t>
      </w:r>
      <w:r w:rsidRPr="00554C56">
        <w:t xml:space="preserve">organisations </w:t>
      </w:r>
    </w:p>
    <w:p w14:paraId="3394E477" w14:textId="08C5BB76" w:rsidR="002B5543" w:rsidRPr="009A5DF5" w:rsidRDefault="002B5543" w:rsidP="00361C02">
      <w:pPr>
        <w:pStyle w:val="ListParagraph"/>
        <w:numPr>
          <w:ilvl w:val="0"/>
          <w:numId w:val="34"/>
        </w:numPr>
        <w:rPr>
          <w:b/>
        </w:rPr>
      </w:pPr>
      <w:r w:rsidRPr="00554C56">
        <w:t>Internally, via a related service in the same organisation</w:t>
      </w:r>
      <w:r>
        <w:t>.</w:t>
      </w:r>
    </w:p>
    <w:p w14:paraId="13FF25DC" w14:textId="0BF0B540" w:rsidR="002B5543" w:rsidRPr="00E60A5B" w:rsidRDefault="002B5543" w:rsidP="00361C02">
      <w:pPr>
        <w:pStyle w:val="Heading3"/>
        <w:numPr>
          <w:ilvl w:val="0"/>
          <w:numId w:val="11"/>
        </w:numPr>
      </w:pPr>
      <w:r w:rsidRPr="00E60A5B">
        <w:t xml:space="preserve">Initial assessment of client needs </w:t>
      </w:r>
    </w:p>
    <w:p w14:paraId="5EE65262" w14:textId="0FDBCFA2" w:rsidR="002B5543" w:rsidRPr="009A5DF5" w:rsidRDefault="002B5543" w:rsidP="00061435">
      <w:pPr>
        <w:pStyle w:val="ListBullet"/>
        <w:rPr>
          <w:lang w:val="en-US"/>
        </w:rPr>
      </w:pPr>
      <w:r w:rsidRPr="009D2204">
        <w:t>After referral, both CVI and non-CVI clients are contacted for an initial assessment</w:t>
      </w:r>
      <w:r>
        <w:t xml:space="preserve"> to establish and prioritise their need. </w:t>
      </w:r>
    </w:p>
    <w:p w14:paraId="0AE2EB00" w14:textId="4CDDC86F" w:rsidR="002B5543" w:rsidRPr="009D2204" w:rsidRDefault="002B5543" w:rsidP="00DF269D">
      <w:pPr>
        <w:pStyle w:val="ListParagraph"/>
        <w:rPr>
          <w:lang w:val="en-US"/>
        </w:rPr>
      </w:pPr>
      <w:r>
        <w:t xml:space="preserve">Often there is a waiting list for specialist assessments, so a service will initially assess the urgency of a client’s need as well as the type of need. This enables them to respond proportionately, taking into consideration elements such as a client’s living arrangements, support networks, and the speed at which they experienced sight loss. </w:t>
      </w:r>
    </w:p>
    <w:p w14:paraId="53C558B1" w14:textId="2D157F5D" w:rsidR="002B5543" w:rsidRPr="009A5DF5" w:rsidRDefault="002B5543" w:rsidP="00B50458">
      <w:pPr>
        <w:pStyle w:val="ListParagraph"/>
        <w:rPr>
          <w:lang w:val="en-US"/>
        </w:rPr>
      </w:pPr>
      <w:r>
        <w:t>Initial assessments are</w:t>
      </w:r>
      <w:r w:rsidRPr="009D2204">
        <w:t xml:space="preserve"> usually </w:t>
      </w:r>
      <w:r>
        <w:t xml:space="preserve">conducted </w:t>
      </w:r>
      <w:r w:rsidRPr="009D2204">
        <w:t>by telephone and</w:t>
      </w:r>
      <w:r>
        <w:t>, where possible and appropriate, may include</w:t>
      </w:r>
      <w:r w:rsidRPr="009D2204">
        <w:t xml:space="preserve"> immediate referrals to appropriate</w:t>
      </w:r>
      <w:r>
        <w:t xml:space="preserve"> external</w:t>
      </w:r>
      <w:r w:rsidRPr="009D2204">
        <w:t xml:space="preserve"> services</w:t>
      </w:r>
      <w:r>
        <w:t>.</w:t>
      </w:r>
    </w:p>
    <w:p w14:paraId="45DD8A04" w14:textId="56AC4692" w:rsidR="002B5543" w:rsidRDefault="002B5543" w:rsidP="00B50458">
      <w:pPr>
        <w:pStyle w:val="ListParagraph"/>
        <w:rPr>
          <w:lang w:val="en-US"/>
        </w:rPr>
      </w:pPr>
      <w:r>
        <w:t>A record of the client’s case or file should contain documentation of the ‘rehabilitation plan’ discussed with the client. The rehabilitation plan ensures the client knows what has happened, what will happen next, and why.</w:t>
      </w:r>
    </w:p>
    <w:p w14:paraId="1ED64990" w14:textId="513726E1" w:rsidR="002B5543" w:rsidRPr="00B50458" w:rsidRDefault="002B5543" w:rsidP="00B50458">
      <w:pPr>
        <w:pStyle w:val="ListParagraph"/>
        <w:rPr>
          <w:lang w:val="en-US"/>
        </w:rPr>
      </w:pPr>
      <w:r w:rsidRPr="009D2204">
        <w:t xml:space="preserve">CVI clients need to be contacted within two </w:t>
      </w:r>
      <w:r>
        <w:t>working days</w:t>
      </w:r>
      <w:r w:rsidRPr="009D2204">
        <w:t xml:space="preserve"> of referral</w:t>
      </w:r>
      <w:r>
        <w:t xml:space="preserve"> and best practice dictates that all referrals are handled in this timeframe.</w:t>
      </w:r>
    </w:p>
    <w:p w14:paraId="6BD181C0" w14:textId="54211624" w:rsidR="002B5543" w:rsidRPr="009A5DF5" w:rsidRDefault="002B5543" w:rsidP="00B50458">
      <w:pPr>
        <w:pStyle w:val="ListParagraph"/>
        <w:rPr>
          <w:lang w:val="en-US"/>
        </w:rPr>
      </w:pPr>
      <w:r>
        <w:t xml:space="preserve">At this stage, all clients with a CVI should be offered registration on </w:t>
      </w:r>
      <w:r w:rsidRPr="009D2204">
        <w:t>the</w:t>
      </w:r>
      <w:r>
        <w:t xml:space="preserve">ir local authority’s local </w:t>
      </w:r>
      <w:r w:rsidRPr="009D2204">
        <w:t>register of people with vision impairment</w:t>
      </w:r>
      <w:r>
        <w:t xml:space="preserve">, if they are not already registered. </w:t>
      </w:r>
    </w:p>
    <w:p w14:paraId="472262BF" w14:textId="71E71EA8" w:rsidR="002B5543" w:rsidRDefault="002B5543" w:rsidP="00361C02">
      <w:pPr>
        <w:pStyle w:val="Heading3"/>
        <w:numPr>
          <w:ilvl w:val="0"/>
          <w:numId w:val="11"/>
        </w:numPr>
      </w:pPr>
      <w:bookmarkStart w:id="33" w:name="_Toc472010215"/>
      <w:bookmarkStart w:id="34" w:name="_Toc472019294"/>
      <w:bookmarkStart w:id="35" w:name="_Toc472010216"/>
      <w:bookmarkStart w:id="36" w:name="_Toc472019295"/>
      <w:bookmarkEnd w:id="33"/>
      <w:bookmarkEnd w:id="34"/>
      <w:bookmarkEnd w:id="35"/>
      <w:bookmarkEnd w:id="36"/>
      <w:r w:rsidRPr="00B50458">
        <w:t>Special</w:t>
      </w:r>
      <w:r>
        <w:t>ist assessment</w:t>
      </w:r>
      <w:r w:rsidRPr="00B50458">
        <w:t xml:space="preserve"> </w:t>
      </w:r>
    </w:p>
    <w:p w14:paraId="174BA2B2" w14:textId="741113AB" w:rsidR="002B5543" w:rsidRDefault="002B5543" w:rsidP="00B50458">
      <w:pPr>
        <w:pStyle w:val="ListParagraph"/>
      </w:pPr>
      <w:r>
        <w:t>All appropriate referrals will be offered a specialist assessment following the initial assessment. However, some will not go on to receive one – this may be because the service is not able to get in touch with the client, or because the client changes their mind.</w:t>
      </w:r>
    </w:p>
    <w:p w14:paraId="2DEF567D" w14:textId="08C48544" w:rsidR="002B5543" w:rsidRDefault="002B5543" w:rsidP="00B50458">
      <w:pPr>
        <w:pStyle w:val="ListParagraph"/>
      </w:pPr>
      <w:r w:rsidRPr="00B50458">
        <w:t xml:space="preserve">Specialist </w:t>
      </w:r>
      <w:r>
        <w:t>a</w:t>
      </w:r>
      <w:r w:rsidRPr="00B50458">
        <w:t>ssessments are conducted by specially trained rehabilitation workers</w:t>
      </w:r>
      <w:r>
        <w:t>,</w:t>
      </w:r>
      <w:r w:rsidRPr="00B50458">
        <w:t xml:space="preserve"> face to face, usually in the client</w:t>
      </w:r>
      <w:r>
        <w:t>’</w:t>
      </w:r>
      <w:r w:rsidRPr="00B50458">
        <w:t xml:space="preserve">s home. </w:t>
      </w:r>
    </w:p>
    <w:p w14:paraId="33AC7966" w14:textId="63BA65B2" w:rsidR="002B5543" w:rsidRDefault="002B5543" w:rsidP="00B50458">
      <w:pPr>
        <w:pStyle w:val="ListParagraph"/>
      </w:pPr>
      <w:r>
        <w:t>R</w:t>
      </w:r>
      <w:r w:rsidRPr="00B50458">
        <w:t>ehab</w:t>
      </w:r>
      <w:r>
        <w:t>ilitation</w:t>
      </w:r>
      <w:r w:rsidRPr="00B50458">
        <w:t xml:space="preserve"> workers</w:t>
      </w:r>
      <w:r>
        <w:t xml:space="preserve"> further</w:t>
      </w:r>
      <w:r w:rsidRPr="00B50458">
        <w:t xml:space="preserve"> assess a client’s needs</w:t>
      </w:r>
      <w:r>
        <w:t xml:space="preserve"> with regards to their:</w:t>
      </w:r>
    </w:p>
    <w:p w14:paraId="55DFAE44" w14:textId="2C28A77A" w:rsidR="002B5543" w:rsidRPr="00F62FAE" w:rsidRDefault="002B5543" w:rsidP="00361C02">
      <w:pPr>
        <w:pStyle w:val="ListParagraph"/>
        <w:numPr>
          <w:ilvl w:val="0"/>
          <w:numId w:val="37"/>
        </w:numPr>
      </w:pPr>
      <w:r w:rsidRPr="00F62FAE">
        <w:t xml:space="preserve">Mobility – in and outside the home </w:t>
      </w:r>
    </w:p>
    <w:p w14:paraId="0501A1E4" w14:textId="2E96845C" w:rsidR="002B5543" w:rsidRPr="00F62FAE" w:rsidRDefault="002B5543" w:rsidP="00361C02">
      <w:pPr>
        <w:pStyle w:val="ListParagraph"/>
        <w:numPr>
          <w:ilvl w:val="0"/>
          <w:numId w:val="37"/>
        </w:numPr>
      </w:pPr>
      <w:r w:rsidRPr="00F62FAE">
        <w:t xml:space="preserve">Ability to communicate – reading and writing, and keeping in touch with family, friends and service providers </w:t>
      </w:r>
    </w:p>
    <w:p w14:paraId="48EC72B4" w14:textId="54539021" w:rsidR="002B5543" w:rsidRPr="00F62FAE" w:rsidRDefault="002B5543" w:rsidP="00361C02">
      <w:pPr>
        <w:pStyle w:val="ListParagraph"/>
        <w:numPr>
          <w:ilvl w:val="0"/>
          <w:numId w:val="37"/>
        </w:numPr>
      </w:pPr>
      <w:r w:rsidRPr="00F62FAE">
        <w:t>Social participation</w:t>
      </w:r>
    </w:p>
    <w:p w14:paraId="26468FA3" w14:textId="44B24C2F" w:rsidR="002B5543" w:rsidRPr="00F62FAE" w:rsidRDefault="002B5543" w:rsidP="00361C02">
      <w:pPr>
        <w:pStyle w:val="ListParagraph"/>
        <w:numPr>
          <w:ilvl w:val="0"/>
          <w:numId w:val="37"/>
        </w:numPr>
      </w:pPr>
      <w:r w:rsidRPr="00F62FAE">
        <w:t xml:space="preserve">Ability to complete daily living tasks independently (e.g. cooking, shopping)  </w:t>
      </w:r>
    </w:p>
    <w:p w14:paraId="0BED79FB" w14:textId="7F7325CF" w:rsidR="002B5543" w:rsidRPr="00F62FAE" w:rsidRDefault="002B5543" w:rsidP="00361C02">
      <w:pPr>
        <w:pStyle w:val="ListParagraph"/>
        <w:numPr>
          <w:ilvl w:val="0"/>
          <w:numId w:val="37"/>
        </w:numPr>
      </w:pPr>
      <w:r w:rsidRPr="00F62FAE">
        <w:t xml:space="preserve">Emotional state and acceptance of their condition. </w:t>
      </w:r>
    </w:p>
    <w:p w14:paraId="60E9652E" w14:textId="072182CA" w:rsidR="002B5543" w:rsidRDefault="002B5543" w:rsidP="00F44A84">
      <w:pPr>
        <w:pStyle w:val="ListBullet"/>
      </w:pPr>
      <w:r>
        <w:t>Rehabilitation workers discuss a client’s needs and work with them to agree a rehabilitation plan.</w:t>
      </w:r>
    </w:p>
    <w:p w14:paraId="3EB4E738" w14:textId="778D5F8E" w:rsidR="002B5543" w:rsidRPr="00E2632E" w:rsidRDefault="002B5543" w:rsidP="008F1145">
      <w:pPr>
        <w:pStyle w:val="ListBullet"/>
        <w:rPr>
          <w:lang w:val="en-US"/>
        </w:rPr>
      </w:pPr>
      <w:r>
        <w:t>The rehabilitation plan may include some or all of the following:</w:t>
      </w:r>
    </w:p>
    <w:p w14:paraId="666BBBA5" w14:textId="77777777" w:rsidR="002B5543" w:rsidRPr="00F62FAE" w:rsidRDefault="002B5543" w:rsidP="00361C02">
      <w:pPr>
        <w:pStyle w:val="ListParagraph"/>
        <w:numPr>
          <w:ilvl w:val="0"/>
          <w:numId w:val="38"/>
        </w:numPr>
      </w:pPr>
      <w:r w:rsidRPr="00F62FAE">
        <w:t>Issuing basic equipment such as bump-ons (raised stickers to help navigate the microwave or the TV remote control, for example) or liquid level indicators</w:t>
      </w:r>
    </w:p>
    <w:p w14:paraId="49C8BC50" w14:textId="77777777" w:rsidR="002B5543" w:rsidRPr="00F62FAE" w:rsidRDefault="002B5543" w:rsidP="00361C02">
      <w:pPr>
        <w:pStyle w:val="ListParagraph"/>
        <w:numPr>
          <w:ilvl w:val="0"/>
          <w:numId w:val="38"/>
        </w:numPr>
      </w:pPr>
      <w:r w:rsidRPr="00F62FAE">
        <w:t>Issuing more specialist equipment such as a Penfriend (a talking labeller device) or special lighting</w:t>
      </w:r>
    </w:p>
    <w:p w14:paraId="72AC9C46" w14:textId="77777777" w:rsidR="002B5543" w:rsidRPr="00F62FAE" w:rsidRDefault="002B5543" w:rsidP="00361C02">
      <w:pPr>
        <w:pStyle w:val="ListParagraph"/>
        <w:numPr>
          <w:ilvl w:val="0"/>
          <w:numId w:val="38"/>
        </w:numPr>
      </w:pPr>
      <w:r w:rsidRPr="00F62FAE">
        <w:t>Signposting or referring to other services</w:t>
      </w:r>
    </w:p>
    <w:p w14:paraId="175953F4" w14:textId="1E15B4CC" w:rsidR="002B5543" w:rsidRPr="00F62FAE" w:rsidRDefault="002B5543" w:rsidP="00361C02">
      <w:pPr>
        <w:pStyle w:val="ListParagraph"/>
        <w:numPr>
          <w:ilvl w:val="0"/>
          <w:numId w:val="38"/>
        </w:numPr>
      </w:pPr>
      <w:r w:rsidRPr="00F62FAE">
        <w:t xml:space="preserve">Referring for in-depth vision rehabilitation (stage D below). </w:t>
      </w:r>
    </w:p>
    <w:p w14:paraId="00B9176F" w14:textId="59BF44F4" w:rsidR="002B5543" w:rsidRPr="001C3478" w:rsidRDefault="002B5543" w:rsidP="00361C02">
      <w:pPr>
        <w:pStyle w:val="Heading3"/>
        <w:numPr>
          <w:ilvl w:val="0"/>
          <w:numId w:val="11"/>
        </w:numPr>
      </w:pPr>
      <w:bookmarkStart w:id="37" w:name="_Toc472010218"/>
      <w:bookmarkStart w:id="38" w:name="_Toc472019297"/>
      <w:bookmarkEnd w:id="37"/>
      <w:bookmarkEnd w:id="38"/>
      <w:r w:rsidRPr="00B50458">
        <w:t xml:space="preserve">In-depth rehabilitation </w:t>
      </w:r>
    </w:p>
    <w:p w14:paraId="745B6A03" w14:textId="7BF1C2CD" w:rsidR="002B5543" w:rsidRPr="006F20E8" w:rsidRDefault="002B5543" w:rsidP="001C3478">
      <w:pPr>
        <w:pStyle w:val="ListParagraph"/>
        <w:rPr>
          <w:lang w:val="en-US"/>
        </w:rPr>
      </w:pPr>
      <w:r>
        <w:rPr>
          <w:lang w:val="en-US"/>
        </w:rPr>
        <w:t>Following a specialist assessment, some clients will be referred to receive further in-depth rehabilitation.</w:t>
      </w:r>
    </w:p>
    <w:p w14:paraId="6A5F5D7F" w14:textId="17F02F83" w:rsidR="002B5543" w:rsidRPr="00B50458" w:rsidRDefault="002B5543" w:rsidP="001C3478">
      <w:pPr>
        <w:pStyle w:val="ListParagraph"/>
        <w:rPr>
          <w:lang w:val="en-US"/>
        </w:rPr>
      </w:pPr>
      <w:r>
        <w:t xml:space="preserve">In-depth vision rehabilitation is </w:t>
      </w:r>
      <w:r w:rsidRPr="00B50458">
        <w:t xml:space="preserve">tailored to </w:t>
      </w:r>
      <w:r>
        <w:t>each</w:t>
      </w:r>
      <w:r w:rsidRPr="00B50458">
        <w:t xml:space="preserve"> client based on their needs and may occur over one or multiple visits</w:t>
      </w:r>
      <w:r>
        <w:t xml:space="preserve">, usually in the client’s home. </w:t>
      </w:r>
    </w:p>
    <w:p w14:paraId="11DB14EA" w14:textId="5F07FB58" w:rsidR="002B5543" w:rsidRPr="001C3478" w:rsidRDefault="002B5543" w:rsidP="001C3478">
      <w:pPr>
        <w:pStyle w:val="ListParagraph"/>
        <w:rPr>
          <w:lang w:val="en-US"/>
        </w:rPr>
      </w:pPr>
      <w:r w:rsidRPr="00B50458">
        <w:t>A rehabilitation worker creates a rehabilitation plan for each client</w:t>
      </w:r>
      <w:r>
        <w:t xml:space="preserve"> that </w:t>
      </w:r>
      <w:r w:rsidRPr="00B50458">
        <w:t>may involve</w:t>
      </w:r>
      <w:r>
        <w:t xml:space="preserve"> some or all of the following</w:t>
      </w:r>
      <w:r w:rsidRPr="00B50458">
        <w:t xml:space="preserve">: </w:t>
      </w:r>
    </w:p>
    <w:p w14:paraId="07AF311B" w14:textId="0418C8EF" w:rsidR="002B5543" w:rsidRPr="00F62FAE" w:rsidRDefault="002B5543" w:rsidP="00361C02">
      <w:pPr>
        <w:pStyle w:val="ListParagraph"/>
        <w:numPr>
          <w:ilvl w:val="0"/>
          <w:numId w:val="39"/>
        </w:numPr>
      </w:pPr>
      <w:r w:rsidRPr="00F62FAE">
        <w:t>Training in daily living skills and assistive technology</w:t>
      </w:r>
    </w:p>
    <w:p w14:paraId="66FB9A85" w14:textId="45E12B53" w:rsidR="002B5543" w:rsidRPr="00F62FAE" w:rsidRDefault="002B5543" w:rsidP="00361C02">
      <w:pPr>
        <w:pStyle w:val="ListParagraph"/>
        <w:numPr>
          <w:ilvl w:val="0"/>
          <w:numId w:val="39"/>
        </w:numPr>
      </w:pPr>
      <w:r w:rsidRPr="00F62FAE">
        <w:t>Mobility training</w:t>
      </w:r>
    </w:p>
    <w:p w14:paraId="5D63C59E" w14:textId="60F1E681" w:rsidR="002B5543" w:rsidRPr="00F62FAE" w:rsidRDefault="002B5543" w:rsidP="00361C02">
      <w:pPr>
        <w:pStyle w:val="ListParagraph"/>
        <w:numPr>
          <w:ilvl w:val="0"/>
          <w:numId w:val="39"/>
        </w:numPr>
      </w:pPr>
      <w:r w:rsidRPr="00F62FAE">
        <w:t xml:space="preserve">Training in communication and associated technology </w:t>
      </w:r>
    </w:p>
    <w:p w14:paraId="57A12E6A" w14:textId="141F5E90" w:rsidR="002B5543" w:rsidRPr="00F62FAE" w:rsidRDefault="002B5543" w:rsidP="00361C02">
      <w:pPr>
        <w:pStyle w:val="ListParagraph"/>
        <w:numPr>
          <w:ilvl w:val="0"/>
          <w:numId w:val="39"/>
        </w:numPr>
      </w:pPr>
      <w:r w:rsidRPr="00F62FAE">
        <w:t xml:space="preserve">Employment-related support   </w:t>
      </w:r>
    </w:p>
    <w:p w14:paraId="1BF2B05E" w14:textId="330C9B92" w:rsidR="002B5543" w:rsidRPr="00F62FAE" w:rsidRDefault="002B5543" w:rsidP="00361C02">
      <w:pPr>
        <w:pStyle w:val="ListParagraph"/>
        <w:numPr>
          <w:ilvl w:val="0"/>
          <w:numId w:val="39"/>
        </w:numPr>
      </w:pPr>
      <w:r w:rsidRPr="00F62FAE">
        <w:t>Emotional support.</w:t>
      </w:r>
    </w:p>
    <w:p w14:paraId="7B787B2E" w14:textId="77777777" w:rsidR="002B5543" w:rsidRDefault="002B5543" w:rsidP="00F44A84">
      <w:pPr>
        <w:pStyle w:val="ListBullet"/>
      </w:pPr>
      <w:r>
        <w:t xml:space="preserve">Daily living skills training and mobility skills training seem to be delivered most frequently. </w:t>
      </w:r>
    </w:p>
    <w:p w14:paraId="7EADEAFB" w14:textId="4FB25685" w:rsidR="002B5543" w:rsidRDefault="002B5543" w:rsidP="00F44A84">
      <w:pPr>
        <w:pStyle w:val="ListBullet"/>
      </w:pPr>
      <w:r>
        <w:t>Clients may be at different stages of a process of coming to terms with their vision impairment conditions, and this can vary significantly from individual to individual, so rehabilitation support is bespoke to each</w:t>
      </w:r>
      <w:r w:rsidRPr="001D1EF2">
        <w:t xml:space="preserve"> </w:t>
      </w:r>
      <w:r>
        <w:t xml:space="preserve">person’s physical and emotional needs. </w:t>
      </w:r>
    </w:p>
    <w:p w14:paraId="34AB237D" w14:textId="21F9FC04" w:rsidR="002B5543" w:rsidRDefault="002B5543" w:rsidP="00F44A84">
      <w:pPr>
        <w:pStyle w:val="ListBullet"/>
      </w:pPr>
      <w:r>
        <w:t>The rehabilitation support is also based on an assessment of what is safe for each individual. For example, while a liquid level indicator may be useful to help someone with sight loss to pour hot drinks without spilling them and scalding themselves, if that service user has other conditions, such as dementia, that make it difficult for them to remember how to use it safely, then that equipment is not safe for them. The specialist rehabilitation worker makes these assessments of what is beneficial, safe and appropriate for each individual in order to meet their needs appropriately.</w:t>
      </w:r>
    </w:p>
    <w:p w14:paraId="19194EC8" w14:textId="77777777" w:rsidR="002B5543" w:rsidRDefault="002B5543" w:rsidP="00361C02">
      <w:pPr>
        <w:pStyle w:val="Heading3"/>
        <w:numPr>
          <w:ilvl w:val="0"/>
          <w:numId w:val="11"/>
        </w:numPr>
      </w:pPr>
      <w:bookmarkStart w:id="39" w:name="_Toc472010220"/>
      <w:bookmarkStart w:id="40" w:name="_Toc472019299"/>
      <w:bookmarkEnd w:id="39"/>
      <w:bookmarkEnd w:id="40"/>
      <w:r w:rsidRPr="001C3478">
        <w:t xml:space="preserve">Follow-up </w:t>
      </w:r>
    </w:p>
    <w:p w14:paraId="727DCDC4" w14:textId="251C5AEF" w:rsidR="002B5543" w:rsidRDefault="002B5543" w:rsidP="00E60A5B">
      <w:r w:rsidRPr="001C3478">
        <w:t xml:space="preserve">Some services contact </w:t>
      </w:r>
      <w:r>
        <w:t>clients</w:t>
      </w:r>
      <w:r w:rsidRPr="001C3478">
        <w:t xml:space="preserve"> after they have left the vision rehabilitation service to ensure their needs have been met</w:t>
      </w:r>
      <w:r>
        <w:t>.</w:t>
      </w:r>
    </w:p>
    <w:p w14:paraId="05DBD9F8" w14:textId="22FE651D" w:rsidR="002B5543" w:rsidRPr="00D61374" w:rsidRDefault="002B5543" w:rsidP="0070595B">
      <w:pPr>
        <w:pStyle w:val="Heading2"/>
      </w:pPr>
      <w:bookmarkStart w:id="41" w:name="_Toc485896969"/>
      <w:r>
        <w:t>3.2 The Case Study: Sight for Surrey</w:t>
      </w:r>
      <w:bookmarkEnd w:id="41"/>
      <w:r>
        <w:t xml:space="preserve"> </w:t>
      </w:r>
    </w:p>
    <w:p w14:paraId="6DC5DB27" w14:textId="40F7235F" w:rsidR="002B5543" w:rsidRPr="0070595B" w:rsidRDefault="002B5543" w:rsidP="0070595B">
      <w:r w:rsidRPr="0070595B">
        <w:t xml:space="preserve">The case study site – Sight for Surrey – is a charitable organisation that delivers specialist services to people who have vision impairment, are deaf or hard of hearing, or have combined sight and hearing loss. </w:t>
      </w:r>
    </w:p>
    <w:p w14:paraId="634FFBAB" w14:textId="77777777" w:rsidR="002B5543" w:rsidRPr="0070595B" w:rsidRDefault="002B5543" w:rsidP="0070595B"/>
    <w:p w14:paraId="31E71D4B" w14:textId="14AD9C40" w:rsidR="002B5543" w:rsidRPr="0070595B" w:rsidRDefault="002B5543" w:rsidP="0070595B">
      <w:r w:rsidRPr="0070595B">
        <w:t xml:space="preserve">For the purposes of this study we have focused specifically on the vision rehabilitation service. Sight for Surrey is contracted by Surrey County Council to provide vision rehabilitation services in Surrey and maintain Surrey County Council’s local voluntary register of people with vision impairment. </w:t>
      </w:r>
    </w:p>
    <w:p w14:paraId="16958A18" w14:textId="77777777" w:rsidR="002B5543" w:rsidRPr="0070595B" w:rsidRDefault="002B5543" w:rsidP="0070595B"/>
    <w:p w14:paraId="25DD1ED4" w14:textId="4068FBED" w:rsidR="002B5543" w:rsidRDefault="002B5543" w:rsidP="0070595B">
      <w:r w:rsidRPr="0070595B">
        <w:t xml:space="preserve">Sight for Surrey’s vision rehabilitation service broadly aligns with the five key stages outlined in the previous section, making it a useful case study to help understand the costs and benefits of vision rehabilitation services more widely. There are a few specific elements relating to the way Sight for Surrey organises their vision rehabilitation service that are worth highlighting, as follows: </w:t>
      </w:r>
    </w:p>
    <w:p w14:paraId="7D36B7F2" w14:textId="1EDB1F0F" w:rsidR="002B5543" w:rsidRPr="00F62FAE" w:rsidRDefault="002B5543" w:rsidP="00361C02">
      <w:pPr>
        <w:pStyle w:val="ListParagraph"/>
        <w:numPr>
          <w:ilvl w:val="0"/>
          <w:numId w:val="40"/>
        </w:numPr>
      </w:pPr>
      <w:r w:rsidRPr="00F62FAE">
        <w:t>Pre-assessment: A pre-assessment visit is conducted where either the initial telephone assessment is unable to achieve clarity about the client’s needs or when it is clear that their immediate needs are simple to meet (for example, with a piece of basic equipment) before a specialist assessment is completed. Between 17% and 30% Sight for Surrey vision rehabilitation clients receive such a visit [</w:t>
      </w:r>
      <w:r w:rsidRPr="00F62FAE">
        <w:endnoteReference w:id="24"/>
      </w:r>
      <w:r w:rsidRPr="00F62FAE">
        <w:t xml:space="preserve">], most of whom go on to receive a full specialist assessment. </w:t>
      </w:r>
    </w:p>
    <w:p w14:paraId="1EA54CD2" w14:textId="073B4484" w:rsidR="002B5543" w:rsidRPr="00F62FAE" w:rsidRDefault="002B5543" w:rsidP="00361C02">
      <w:pPr>
        <w:pStyle w:val="ListParagraph"/>
        <w:numPr>
          <w:ilvl w:val="0"/>
          <w:numId w:val="40"/>
        </w:numPr>
      </w:pPr>
      <w:r w:rsidRPr="00F62FAE">
        <w:t>A specialist assessment in two visits: Sight for Surrey generally conducts a specialist assessment in two home visits which allows for needs based equipment distribution to clients [</w:t>
      </w:r>
      <w:r w:rsidRPr="00F62FAE">
        <w:endnoteReference w:id="25"/>
      </w:r>
      <w:r w:rsidRPr="00F62FAE">
        <w:t xml:space="preserve">]. </w:t>
      </w:r>
    </w:p>
    <w:p w14:paraId="78D93F84" w14:textId="0A2C3884" w:rsidR="002B5543" w:rsidRPr="00F62FAE" w:rsidRDefault="002B5543" w:rsidP="00361C02">
      <w:pPr>
        <w:pStyle w:val="ListParagraph"/>
        <w:numPr>
          <w:ilvl w:val="0"/>
          <w:numId w:val="40"/>
        </w:numPr>
      </w:pPr>
      <w:r w:rsidRPr="00F62FAE">
        <w:t xml:space="preserve">Rehabilitation Support Workers: The service employs specialist qualified Rehabilitation Workers and specialist trained Rehabilitation Support Workers spreading the rehabilitation workload appropriately across the two roles to ensure a proportionate and client appropriate response. </w:t>
      </w:r>
    </w:p>
    <w:p w14:paraId="55EA1195" w14:textId="77777777" w:rsidR="002B5543" w:rsidRPr="00432CDB" w:rsidRDefault="002B5543" w:rsidP="003F775A">
      <w:pPr>
        <w:pStyle w:val="Heading3"/>
      </w:pPr>
      <w:r>
        <w:t xml:space="preserve">Delivery volume: referrals and clients </w:t>
      </w:r>
    </w:p>
    <w:p w14:paraId="57B51D9F" w14:textId="57AF33D2" w:rsidR="002B5543" w:rsidRDefault="002B5543" w:rsidP="003F775A">
      <w:pPr>
        <w:rPr>
          <w:lang w:val="en-AU"/>
        </w:rPr>
      </w:pPr>
      <w:r>
        <w:t xml:space="preserve">In 2015/16 Sight for Surrey received </w:t>
      </w:r>
      <w:r>
        <w:rPr>
          <w:b/>
        </w:rPr>
        <w:t>706</w:t>
      </w:r>
      <w:r w:rsidRPr="00734D7C">
        <w:rPr>
          <w:b/>
        </w:rPr>
        <w:t xml:space="preserve"> referrals</w:t>
      </w:r>
      <w:r>
        <w:t xml:space="preserve"> to their vision rehabilitation service team of whom </w:t>
      </w:r>
      <w:r w:rsidRPr="0072383E">
        <w:rPr>
          <w:b/>
        </w:rPr>
        <w:t xml:space="preserve">702 progressed to a </w:t>
      </w:r>
      <w:r>
        <w:rPr>
          <w:b/>
        </w:rPr>
        <w:t>s</w:t>
      </w:r>
      <w:r w:rsidRPr="0072383E">
        <w:rPr>
          <w:b/>
        </w:rPr>
        <w:t xml:space="preserve">pecialist </w:t>
      </w:r>
      <w:r>
        <w:rPr>
          <w:b/>
        </w:rPr>
        <w:t>a</w:t>
      </w:r>
      <w:r w:rsidRPr="0072383E">
        <w:rPr>
          <w:b/>
        </w:rPr>
        <w:t>ssessment</w:t>
      </w:r>
      <w:r>
        <w:t xml:space="preserve">. The majority of Sight for Surrey’s referrals are received through the CVI route </w:t>
      </w:r>
      <w:r>
        <w:rPr>
          <w:lang w:val="en-AU"/>
        </w:rPr>
        <w:t>with the number of referrals from other channels (i.e. self- and re-referrals, Eye Clinic Liaison Officer, etc.) estimated at 15-20% of total referrals [</w:t>
      </w:r>
      <w:r>
        <w:rPr>
          <w:rStyle w:val="EndnoteReference"/>
          <w:lang w:val="en-AU"/>
        </w:rPr>
        <w:endnoteReference w:id="26"/>
      </w:r>
      <w:r>
        <w:rPr>
          <w:lang w:val="en-AU"/>
        </w:rPr>
        <w:t>].</w:t>
      </w:r>
    </w:p>
    <w:p w14:paraId="3E2D11C1" w14:textId="77777777" w:rsidR="002B5543" w:rsidRDefault="002B5543" w:rsidP="00872FF4">
      <w:pPr>
        <w:rPr>
          <w:lang w:val="en-AU"/>
        </w:rPr>
      </w:pPr>
    </w:p>
    <w:p w14:paraId="45ABD19A" w14:textId="2F756C67" w:rsidR="002B5543" w:rsidRDefault="002B5543" w:rsidP="003F775A">
      <w:r>
        <w:t>The exact number of clients receiving in-depth rehabilitation from the Sight for Surrey team is not known [</w:t>
      </w:r>
      <w:r>
        <w:rPr>
          <w:rStyle w:val="EndnoteReference"/>
        </w:rPr>
        <w:endnoteReference w:id="27"/>
      </w:r>
      <w:r>
        <w:t xml:space="preserve">]. However, a total of </w:t>
      </w:r>
      <w:r w:rsidRPr="009A5DF5">
        <w:rPr>
          <w:b/>
        </w:rPr>
        <w:t>2</w:t>
      </w:r>
      <w:r>
        <w:rPr>
          <w:b/>
        </w:rPr>
        <w:t>84 referrals</w:t>
      </w:r>
      <w:r>
        <w:t xml:space="preserve"> were made into in-depth rehabilitation in 2015/16 [</w:t>
      </w:r>
      <w:r>
        <w:rPr>
          <w:rStyle w:val="EndnoteReference"/>
        </w:rPr>
        <w:endnoteReference w:id="28"/>
      </w:r>
      <w:r>
        <w:t>]. This figure of 284 represents a</w:t>
      </w:r>
      <w:r w:rsidRPr="00BF29E2">
        <w:t xml:space="preserve"> referral into a </w:t>
      </w:r>
      <w:r>
        <w:t>specific</w:t>
      </w:r>
      <w:r w:rsidRPr="00BF29E2">
        <w:t xml:space="preserve"> type of rehab</w:t>
      </w:r>
      <w:r>
        <w:t>ilitation (e.g.</w:t>
      </w:r>
      <w:r w:rsidRPr="00BF29E2">
        <w:t xml:space="preserve"> </w:t>
      </w:r>
      <w:r>
        <w:t xml:space="preserve">daily living skills; </w:t>
      </w:r>
      <w:r w:rsidRPr="00BF29E2">
        <w:t>mobility</w:t>
      </w:r>
      <w:r>
        <w:t xml:space="preserve"> training; braille) and not the number</w:t>
      </w:r>
      <w:r w:rsidRPr="00BF29E2">
        <w:t xml:space="preserve"> of individuals referred. </w:t>
      </w:r>
      <w:r>
        <w:t>The same individual could be referred to more than one type of rehabilitation. Therefore, the number of individuals receiving in-depth rehabilitation visits was less than or equal to 284</w:t>
      </w:r>
      <w:r w:rsidRPr="00E2481B">
        <w:t>.</w:t>
      </w:r>
      <w:r>
        <w:t xml:space="preserve"> In-depth rehabilitation may involve between one and 30 sessions per client per type of rehabilitation. </w:t>
      </w:r>
    </w:p>
    <w:p w14:paraId="4D6DF35A" w14:textId="77777777" w:rsidR="002B5543" w:rsidRDefault="002B5543" w:rsidP="003F775A"/>
    <w:p w14:paraId="277567FC" w14:textId="50F862B3" w:rsidR="002B5543" w:rsidRDefault="002B5543" w:rsidP="003F775A">
      <w:r w:rsidRPr="009A5DF5">
        <w:rPr>
          <w:b/>
        </w:rPr>
        <w:t>All clients</w:t>
      </w:r>
      <w:r>
        <w:t xml:space="preserve"> who use the Sight for Surrey vision rehabilitation service receive a follow-up call six months after exiting the service. </w:t>
      </w:r>
    </w:p>
    <w:p w14:paraId="63EF3E2C" w14:textId="77777777" w:rsidR="002B5543" w:rsidRDefault="002B5543" w:rsidP="003F775A"/>
    <w:p w14:paraId="3C963CA6" w14:textId="1434A881" w:rsidR="002B5543" w:rsidRDefault="002B5543" w:rsidP="003F775A">
      <w:r>
        <w:t xml:space="preserve">Sight for Surrey were not required to monitor the number of </w:t>
      </w:r>
      <w:r w:rsidRPr="00AA4118">
        <w:rPr>
          <w:b/>
        </w:rPr>
        <w:t>re-referrals</w:t>
      </w:r>
      <w:r>
        <w:t>, but anecdotal evidence from interviews with staff suggest that many self-referrals may in fact be individuals re-referring themselves to the service when they need a different type of support because of a change in their condition or circumstances.</w:t>
      </w:r>
    </w:p>
    <w:p w14:paraId="622D4E61" w14:textId="424E6D0B" w:rsidR="002B5543" w:rsidRDefault="002B5543" w:rsidP="00F44A84">
      <w:pPr>
        <w:pStyle w:val="Heading3"/>
      </w:pPr>
      <w:r>
        <w:t>Equipment distribution</w:t>
      </w:r>
    </w:p>
    <w:p w14:paraId="52322A6F" w14:textId="61548C55" w:rsidR="002B5543" w:rsidRDefault="002B5543" w:rsidP="00061435">
      <w:r w:rsidRPr="00061435">
        <w:t xml:space="preserve">Sight for Surrey provide a range of equipment under contract to service users who meet Care Act eligibility to receive specific items on long-term loan. Other equipment, such as UV filters and magnifiers are considered medical devices and are dispensed at Low Vision Clinics attached to Eye Clinics in hospitals. </w:t>
      </w:r>
    </w:p>
    <w:p w14:paraId="03988CCC" w14:textId="77777777" w:rsidR="002B5543" w:rsidRDefault="002B5543" w:rsidP="00061435"/>
    <w:p w14:paraId="7E7CC58F" w14:textId="2D0C76B1" w:rsidR="002B5543" w:rsidRPr="00061435" w:rsidRDefault="002B5543" w:rsidP="00061435">
      <w:r w:rsidRPr="00061435">
        <w:t xml:space="preserve">Rehabilitation workers may also recommend equipment not available on loan or free of charge, that the service user can choose to buy or access for themselves. An example of this is where rehabilitation workers demonstrate a talking labelling device to show the service user how to use it, and then they have the option of ordering this for themselves to assist with their day-to-day tasks. In addition, some service users may prefer to purchase equipment privately from Sight for Surrey, such as magnifiers, rather than using them on loan. </w:t>
      </w:r>
    </w:p>
    <w:p w14:paraId="32A4815A" w14:textId="4ED4C35C" w:rsidR="002B5543" w:rsidRDefault="002B5543" w:rsidP="00D329D3">
      <w:pPr>
        <w:pStyle w:val="Heading3"/>
      </w:pPr>
      <w:r>
        <w:t xml:space="preserve">Staffing </w:t>
      </w:r>
    </w:p>
    <w:p w14:paraId="019D52B7" w14:textId="245AD034" w:rsidR="002B5543" w:rsidRDefault="002B5543" w:rsidP="00432CDB">
      <w:r w:rsidRPr="00734D7C">
        <w:t>The Sight for Surrey vision rehabilitation service is staffed by the following roles</w:t>
      </w:r>
      <w:r>
        <w:t>.</w:t>
      </w:r>
    </w:p>
    <w:p w14:paraId="70A9FBB6" w14:textId="1F493188" w:rsidR="002B5543" w:rsidRPr="00F62FAE" w:rsidRDefault="002B5543" w:rsidP="00361C02">
      <w:pPr>
        <w:pStyle w:val="ListParagraph"/>
        <w:numPr>
          <w:ilvl w:val="0"/>
          <w:numId w:val="41"/>
        </w:numPr>
      </w:pPr>
      <w:r w:rsidRPr="00F62FAE">
        <w:t>Service Manager – 1 employed Full Time Equivalent (FTE)</w:t>
      </w:r>
    </w:p>
    <w:p w14:paraId="504467EF" w14:textId="5EF63F68" w:rsidR="002B5543" w:rsidRPr="00F62FAE" w:rsidRDefault="002B5543" w:rsidP="00361C02">
      <w:pPr>
        <w:pStyle w:val="ListParagraph"/>
        <w:numPr>
          <w:ilvl w:val="0"/>
          <w:numId w:val="41"/>
        </w:numPr>
      </w:pPr>
      <w:r w:rsidRPr="00F62FAE">
        <w:t>Rehabilitation Worker – 8.4 FTE</w:t>
      </w:r>
    </w:p>
    <w:p w14:paraId="320B6765" w14:textId="46CEF446" w:rsidR="002B5543" w:rsidRPr="00F62FAE" w:rsidRDefault="002B5543" w:rsidP="00361C02">
      <w:pPr>
        <w:pStyle w:val="ListParagraph"/>
        <w:numPr>
          <w:ilvl w:val="0"/>
          <w:numId w:val="41"/>
        </w:numPr>
      </w:pPr>
      <w:r w:rsidRPr="00F62FAE">
        <w:t>Rehabilitation Support Worker – 2.6 FTE</w:t>
      </w:r>
    </w:p>
    <w:p w14:paraId="5B1C77D3" w14:textId="0DA87CDB" w:rsidR="002B5543" w:rsidRPr="00F62FAE" w:rsidRDefault="002B5543" w:rsidP="00361C02">
      <w:pPr>
        <w:pStyle w:val="ListParagraph"/>
        <w:numPr>
          <w:ilvl w:val="0"/>
          <w:numId w:val="41"/>
        </w:numPr>
      </w:pPr>
      <w:r w:rsidRPr="00F62FAE">
        <w:t>Helpdesk Advisor – 2 FTE</w:t>
      </w:r>
    </w:p>
    <w:p w14:paraId="41455BEA" w14:textId="5B08B083" w:rsidR="002B5543" w:rsidRPr="00F62FAE" w:rsidRDefault="002B5543" w:rsidP="00361C02">
      <w:pPr>
        <w:pStyle w:val="ListParagraph"/>
        <w:numPr>
          <w:ilvl w:val="0"/>
          <w:numId w:val="41"/>
        </w:numPr>
      </w:pPr>
      <w:r w:rsidRPr="00F62FAE">
        <w:t>Specialist Administrator – 1.6 FTE</w:t>
      </w:r>
    </w:p>
    <w:p w14:paraId="4CFC1280" w14:textId="60F3EAD0" w:rsidR="002B5543" w:rsidRPr="00F62FAE" w:rsidRDefault="002B5543" w:rsidP="00361C02">
      <w:pPr>
        <w:pStyle w:val="ListParagraph"/>
        <w:numPr>
          <w:ilvl w:val="0"/>
          <w:numId w:val="41"/>
        </w:numPr>
      </w:pPr>
      <w:r w:rsidRPr="00F62FAE">
        <w:t>Equipment Advisor – 0.6 FTE</w:t>
      </w:r>
    </w:p>
    <w:p w14:paraId="0528537B" w14:textId="1C166167" w:rsidR="002B5543" w:rsidRDefault="002B5543" w:rsidP="009A5DF5">
      <w:pPr>
        <w:pStyle w:val="ListBullet"/>
        <w:rPr>
          <w:lang w:val="en-AU"/>
        </w:rPr>
      </w:pPr>
      <w:r>
        <w:t xml:space="preserve">In cases where certain staff/roles have responsibilities across other Sight for Surrey services (such as hearing loss, equipment management, etc.), the </w:t>
      </w:r>
      <w:r>
        <w:rPr>
          <w:lang w:val="en-AU"/>
        </w:rPr>
        <w:t>FTE loads above include only hours dedicated to vision rehabilitation. One Rehabilitation Worker who is qualified with a Diploma in Deafblind studies works specifically with deafblind clients.</w:t>
      </w:r>
    </w:p>
    <w:p w14:paraId="21A379D2" w14:textId="77777777" w:rsidR="002B5543" w:rsidRDefault="002B5543" w:rsidP="009A5DF5">
      <w:pPr>
        <w:pStyle w:val="ListBullet"/>
        <w:rPr>
          <w:lang w:val="en-AU"/>
        </w:rPr>
      </w:pPr>
    </w:p>
    <w:p w14:paraId="49E73C89" w14:textId="77777777" w:rsidR="002B5543" w:rsidRDefault="002B5543" w:rsidP="009A5DF5">
      <w:pPr>
        <w:pStyle w:val="ListBullet"/>
      </w:pPr>
      <w:r>
        <w:t>The services of an</w:t>
      </w:r>
      <w:r w:rsidRPr="002631AE">
        <w:t xml:space="preserve"> Equipment Manager</w:t>
      </w:r>
      <w:r>
        <w:t xml:space="preserve"> (who is a dispensing optician and manages the work of the Equipment Advisor)</w:t>
      </w:r>
      <w:r w:rsidRPr="002631AE">
        <w:t xml:space="preserve"> </w:t>
      </w:r>
      <w:r>
        <w:t>underpins the vision rehabilitation service. However, their time has not been included in the calculations of the costs of Sight for Surrey’s vision rehabilitation service as their role within the rehabilitation service is not ‘frontline’. T</w:t>
      </w:r>
      <w:r w:rsidRPr="002631AE">
        <w:t>he</w:t>
      </w:r>
      <w:r>
        <w:t xml:space="preserve"> </w:t>
      </w:r>
      <w:r w:rsidRPr="002631AE">
        <w:t>role</w:t>
      </w:r>
      <w:r>
        <w:t xml:space="preserve"> includes the</w:t>
      </w:r>
      <w:r w:rsidRPr="002631AE">
        <w:t xml:space="preserve"> manage</w:t>
      </w:r>
      <w:r>
        <w:t>ment of</w:t>
      </w:r>
      <w:r w:rsidRPr="002631AE">
        <w:t xml:space="preserve"> equipment stocks for the whole Sight for Surrey </w:t>
      </w:r>
      <w:r>
        <w:t xml:space="preserve">including for their other services and programmes. </w:t>
      </w:r>
    </w:p>
    <w:p w14:paraId="09899D7F" w14:textId="77777777" w:rsidR="002B5543" w:rsidRDefault="002B5543" w:rsidP="009A5DF5">
      <w:pPr>
        <w:pStyle w:val="ListBullet"/>
      </w:pPr>
    </w:p>
    <w:p w14:paraId="01920A47" w14:textId="3F570C8F" w:rsidR="002B5543" w:rsidRPr="00CB289A" w:rsidRDefault="002B5543" w:rsidP="009A5DF5">
      <w:pPr>
        <w:pStyle w:val="ListBullet"/>
      </w:pPr>
      <w:r>
        <w:t xml:space="preserve">The costings do however take into account their attendance at </w:t>
      </w:r>
      <w:r w:rsidRPr="002631AE">
        <w:t>regular vision rehabilitat</w:t>
      </w:r>
      <w:r w:rsidRPr="00544FA7">
        <w:t>ion team meetings</w:t>
      </w:r>
      <w:r>
        <w:t>. Sight for Surrey also employs 2.2 FTE Eye Clinic Liaison Officers who, whilst not directly involved in the vision rehabilitation service, are complementary to it</w:t>
      </w:r>
      <w:r w:rsidRPr="00312558">
        <w:t>.</w:t>
      </w:r>
    </w:p>
    <w:p w14:paraId="2F1394D4" w14:textId="611D5A4D" w:rsidR="002B5543" w:rsidRDefault="002B5543" w:rsidP="00361C02">
      <w:pPr>
        <w:pStyle w:val="Heading1"/>
        <w:numPr>
          <w:ilvl w:val="0"/>
          <w:numId w:val="17"/>
        </w:numPr>
      </w:pPr>
      <w:r>
        <w:t xml:space="preserve"> </w:t>
      </w:r>
      <w:bookmarkStart w:id="42" w:name="_Toc485896970"/>
      <w:r>
        <w:t>Findings</w:t>
      </w:r>
      <w:bookmarkEnd w:id="42"/>
    </w:p>
    <w:p w14:paraId="101ACD8D" w14:textId="2036958D" w:rsidR="002B5543" w:rsidRDefault="002B5543" w:rsidP="00421803">
      <w:pPr>
        <w:pStyle w:val="Heading2"/>
      </w:pPr>
      <w:bookmarkStart w:id="43" w:name="_Toc485896971"/>
      <w:r>
        <w:t xml:space="preserve">4.1 The cost of vision rehabilitation </w:t>
      </w:r>
      <w:r w:rsidRPr="00466977">
        <w:rPr>
          <w:b w:val="0"/>
          <w:sz w:val="28"/>
          <w:szCs w:val="28"/>
        </w:rPr>
        <w:t>[</w:t>
      </w:r>
      <w:r w:rsidRPr="00466977">
        <w:rPr>
          <w:rStyle w:val="EndnoteReference"/>
          <w:b w:val="0"/>
          <w:szCs w:val="28"/>
        </w:rPr>
        <w:endnoteReference w:id="29"/>
      </w:r>
      <w:bookmarkEnd w:id="43"/>
      <w:r w:rsidRPr="00466977">
        <w:rPr>
          <w:b w:val="0"/>
          <w:sz w:val="28"/>
          <w:szCs w:val="28"/>
        </w:rPr>
        <w:t xml:space="preserve">] </w:t>
      </w:r>
    </w:p>
    <w:p w14:paraId="036E9692" w14:textId="686CE358" w:rsidR="002B5543" w:rsidRDefault="002B5543" w:rsidP="00124D7C">
      <w:pPr>
        <w:pStyle w:val="Heading3"/>
      </w:pPr>
      <w:r>
        <w:t xml:space="preserve">What is included in the cost calculations  </w:t>
      </w:r>
    </w:p>
    <w:p w14:paraId="598FAB36" w14:textId="7C8DDE66" w:rsidR="002B5543" w:rsidRDefault="002B5543" w:rsidP="003A1FFD">
      <w:r>
        <w:t xml:space="preserve">The cost of the entire Sight for Surrey vision rehabilitation service, from handling referrals through to follow-up post-exit phone calls, as well as regular team meetings, complex case management, policy review and equipment distribution, includes: </w:t>
      </w:r>
    </w:p>
    <w:p w14:paraId="77A826A2" w14:textId="7131FCC5" w:rsidR="002B5543" w:rsidRDefault="002B5543" w:rsidP="00361C02">
      <w:pPr>
        <w:pStyle w:val="ListBullet"/>
        <w:numPr>
          <w:ilvl w:val="0"/>
          <w:numId w:val="26"/>
        </w:numPr>
      </w:pPr>
      <w:r>
        <w:t xml:space="preserve">Staff salaries and on-costs (i.e. National Insurance Contributions and employer pension contributions); </w:t>
      </w:r>
    </w:p>
    <w:p w14:paraId="08DF03E6" w14:textId="3EEA9174" w:rsidR="002B5543" w:rsidRDefault="002B5543" w:rsidP="00361C02">
      <w:pPr>
        <w:pStyle w:val="ListBullet"/>
        <w:numPr>
          <w:ilvl w:val="0"/>
          <w:numId w:val="26"/>
        </w:numPr>
      </w:pPr>
      <w:r>
        <w:t>Equipment purchases – both for demonstration and to distribute to clients;</w:t>
      </w:r>
    </w:p>
    <w:p w14:paraId="6EA54985" w14:textId="1CE2BBCB" w:rsidR="002B5543" w:rsidRDefault="002B5543" w:rsidP="00361C02">
      <w:pPr>
        <w:pStyle w:val="ListBullet"/>
        <w:numPr>
          <w:ilvl w:val="0"/>
          <w:numId w:val="26"/>
        </w:numPr>
      </w:pPr>
      <w:r>
        <w:t>Assessment-related travel expenses (i.e. to clients’ homes); and,</w:t>
      </w:r>
    </w:p>
    <w:p w14:paraId="560271A5" w14:textId="33DF7D21" w:rsidR="002B5543" w:rsidRDefault="002B5543" w:rsidP="00361C02">
      <w:pPr>
        <w:pStyle w:val="ListBullet"/>
        <w:numPr>
          <w:ilvl w:val="0"/>
          <w:numId w:val="26"/>
        </w:numPr>
      </w:pPr>
      <w:r>
        <w:t>Administrative overheads [</w:t>
      </w:r>
      <w:r>
        <w:rPr>
          <w:rStyle w:val="EndnoteReference"/>
        </w:rPr>
        <w:endnoteReference w:id="30"/>
      </w:r>
      <w:r>
        <w:t xml:space="preserve">]. </w:t>
      </w:r>
    </w:p>
    <w:p w14:paraId="1DF08832" w14:textId="6C2188C1" w:rsidR="002B5543" w:rsidRDefault="002B5543" w:rsidP="00474341">
      <w:pPr>
        <w:pStyle w:val="ListBullet"/>
      </w:pPr>
      <w:r>
        <w:t xml:space="preserve">These costs are direct costs, and full costs, reported as net present values (i.e. ‘in today’s money’) based on the year 2015/16. Our primary research with professionals did not uncover any indirect costs (such as resources provided by another agency in-kind, etc.). We acknowledge that this may not always be the case in other vision rehabilitation services, and would therefore recommend probing for indirect costs in each instance, rather than to simply assume that these do not exist in every case. </w:t>
      </w:r>
    </w:p>
    <w:p w14:paraId="5D884CE5" w14:textId="77777777" w:rsidR="002B5543" w:rsidRDefault="002B5543" w:rsidP="00474341">
      <w:pPr>
        <w:pStyle w:val="ListBullet"/>
      </w:pPr>
    </w:p>
    <w:p w14:paraId="11EF1DE4" w14:textId="5EC304A9" w:rsidR="002B5543" w:rsidRDefault="002B5543" w:rsidP="008B3518">
      <w:r>
        <w:t xml:space="preserve">The costings take into consideration Sight for Surrey’s service model that involves a specialist assessment being conducted in </w:t>
      </w:r>
      <w:r w:rsidRPr="00AC1CE9">
        <w:t>two</w:t>
      </w:r>
      <w:r>
        <w:t xml:space="preserve"> home visits; the first visit takes place to assess the needs of the client and the second visit normally occurs to bring equipment to the service user as described above.   </w:t>
      </w:r>
    </w:p>
    <w:p w14:paraId="7A96A979" w14:textId="77777777" w:rsidR="002B5543" w:rsidRDefault="002B5543" w:rsidP="008B3518"/>
    <w:p w14:paraId="7EC25100" w14:textId="0BE0DA90" w:rsidR="002B5543" w:rsidRDefault="002B5543" w:rsidP="008B3518">
      <w:r>
        <w:t xml:space="preserve">To capture an accurate picture of the cost of the components of the Sight for Surrey vision rehabilitation service and separate the vision rehabilitation service out from the other services and functions that Sight for Surrey deliver (such as hearing loss services, eye clinic liaison, etc.), cost calculations were stage-based. That is, for each stage conducted as a part of the vision rehabilitation </w:t>
      </w:r>
      <w:r>
        <w:rPr>
          <w:lang w:val="en-US"/>
        </w:rPr>
        <w:t xml:space="preserve">service (i.e. referrals handling, specialist assessment, and so on) </w:t>
      </w:r>
      <w:r>
        <w:t xml:space="preserve">we identified minimum, maximum – and then midpoint – figures for: </w:t>
      </w:r>
    </w:p>
    <w:p w14:paraId="02E66BDA" w14:textId="14D13BC2" w:rsidR="002B5543" w:rsidRPr="00D67371" w:rsidRDefault="002B5543" w:rsidP="00D67371">
      <w:pPr>
        <w:pStyle w:val="ListBullet"/>
      </w:pPr>
      <w:r w:rsidRPr="00D67371">
        <w:t xml:space="preserve">The staff members involved in delivering the stage and their salary range (in </w:t>
      </w:r>
      <w:r w:rsidRPr="00B54C20">
        <w:t>pounds, including NIC and pension on-costs);</w:t>
      </w:r>
      <w:r w:rsidRPr="00D67371">
        <w:t xml:space="preserve"> </w:t>
      </w:r>
    </w:p>
    <w:p w14:paraId="37908BBA" w14:textId="43FE1DF9" w:rsidR="002B5543" w:rsidRPr="00D67371" w:rsidRDefault="002B5543" w:rsidP="00D67371">
      <w:pPr>
        <w:pStyle w:val="ListBullet"/>
      </w:pPr>
      <w:r w:rsidRPr="00D67371">
        <w:t>The range of time taken to complete all tasks in the stage (in hours), including preparation time, travel time, delivery time, and follow-u</w:t>
      </w:r>
      <w:r>
        <w:t>p tasks such as note-taking;</w:t>
      </w:r>
    </w:p>
    <w:p w14:paraId="16B8A06E" w14:textId="72723A9B" w:rsidR="002B5543" w:rsidRPr="00D67371" w:rsidRDefault="002B5543" w:rsidP="00D67371">
      <w:pPr>
        <w:pStyle w:val="ListBullet"/>
      </w:pPr>
      <w:r w:rsidRPr="00D67371">
        <w:t xml:space="preserve">The number of times the stage was completed (or likely completed) in the 2015/16 year </w:t>
      </w:r>
      <w:r w:rsidRPr="00B54C20">
        <w:t>(i.e. for how many clients, etc.)</w:t>
      </w:r>
      <w:r w:rsidRPr="00D67371">
        <w:t xml:space="preserve">. </w:t>
      </w:r>
    </w:p>
    <w:p w14:paraId="0AA96B03" w14:textId="77777777" w:rsidR="002B5543" w:rsidRDefault="002B5543" w:rsidP="00935C37"/>
    <w:p w14:paraId="2FFC1081" w14:textId="237CED54" w:rsidR="002B5543" w:rsidRDefault="002B5543" w:rsidP="00935C37">
      <w:r>
        <w:t xml:space="preserve">These figures were then used to gauge the minimum, maximum and midpoint costings for the service as a whole; this takes into account possible variations in delivery times, the seniority of staff members working at each stage and service user volumes and allows for a per service user cost to be established.  </w:t>
      </w:r>
    </w:p>
    <w:p w14:paraId="7A1AFC96" w14:textId="77777777" w:rsidR="002B5543" w:rsidRDefault="002B5543" w:rsidP="00935C37"/>
    <w:p w14:paraId="5939AE66" w14:textId="72763BEC" w:rsidR="002B5543" w:rsidRDefault="002B5543" w:rsidP="008618EF">
      <w:pPr>
        <w:pStyle w:val="ListBullet"/>
        <w:rPr>
          <w:lang w:val="en-US"/>
        </w:rPr>
      </w:pPr>
      <w:r>
        <w:t xml:space="preserve">Below is an overview of the cost of providing the Sight for Surrey vision rehabilitation service based on their service usage patterns and volumes from 2015/16. </w:t>
      </w:r>
      <w:r>
        <w:rPr>
          <w:lang w:val="en-US"/>
        </w:rPr>
        <w:t xml:space="preserve">The figures presented in this section take the mid-point of the range.  </w:t>
      </w:r>
    </w:p>
    <w:p w14:paraId="148EEF9D" w14:textId="2C7B4110" w:rsidR="002B5543" w:rsidRDefault="002B5543" w:rsidP="008451F0">
      <w:pPr>
        <w:pStyle w:val="Heading3"/>
        <w:rPr>
          <w:lang w:val="en-US"/>
        </w:rPr>
      </w:pPr>
      <w:r>
        <w:rPr>
          <w:lang w:val="en-US"/>
        </w:rPr>
        <w:t xml:space="preserve">Costs in context of vision rehabilitation stages  </w:t>
      </w:r>
    </w:p>
    <w:p w14:paraId="0D2F0DAA" w14:textId="7997DE97" w:rsidR="002B5543" w:rsidRDefault="002B5543" w:rsidP="00543146">
      <w:r>
        <w:t>The total cost of the Sight for Surrey vision rehabilitation service in 2015/16 wa</w:t>
      </w:r>
      <w:r w:rsidRPr="00AE05B5">
        <w:t xml:space="preserve">s </w:t>
      </w:r>
      <w:r>
        <w:t xml:space="preserve">calculated as being between a minimum of </w:t>
      </w:r>
      <w:r w:rsidRPr="00D67371">
        <w:t>£</w:t>
      </w:r>
      <w:r>
        <w:t>739</w:t>
      </w:r>
      <w:r w:rsidRPr="00D67371">
        <w:t>,</w:t>
      </w:r>
      <w:r>
        <w:t>364</w:t>
      </w:r>
      <w:r w:rsidRPr="00D67371">
        <w:t xml:space="preserve"> and a maximum £</w:t>
      </w:r>
      <w:r>
        <w:t xml:space="preserve">1,096,703. </w:t>
      </w:r>
    </w:p>
    <w:p w14:paraId="524342B6" w14:textId="77777777" w:rsidR="002B5543" w:rsidRDefault="002B5543" w:rsidP="00543146"/>
    <w:p w14:paraId="593DBC1E" w14:textId="7DE8C250" w:rsidR="002B5543" w:rsidRDefault="002B5543" w:rsidP="00543146">
      <w:pPr>
        <w:rPr>
          <w:rFonts w:ascii="Calibri" w:eastAsia="Times New Roman" w:hAnsi="Calibri" w:cs="Times New Roman"/>
          <w:b/>
          <w:color w:val="000000"/>
          <w:lang w:val="en-AU"/>
        </w:rPr>
      </w:pPr>
      <w:r>
        <w:t>The</w:t>
      </w:r>
      <w:r w:rsidRPr="00D67371">
        <w:t xml:space="preserve"> midpoint of</w:t>
      </w:r>
      <w:r>
        <w:rPr>
          <w:b/>
        </w:rPr>
        <w:t xml:space="preserve"> </w:t>
      </w:r>
      <w:r w:rsidRPr="00D67371">
        <w:t>this range is</w:t>
      </w:r>
      <w:r>
        <w:rPr>
          <w:b/>
        </w:rPr>
        <w:t xml:space="preserve"> £918,034 </w:t>
      </w:r>
      <w:r w:rsidRPr="00466977">
        <w:t>[</w:t>
      </w:r>
      <w:r w:rsidRPr="00D67371">
        <w:rPr>
          <w:rStyle w:val="EndnoteReference"/>
        </w:rPr>
        <w:endnoteReference w:id="31"/>
      </w:r>
      <w:r w:rsidRPr="00466977">
        <w:t>]</w:t>
      </w:r>
      <w:r w:rsidRPr="00D67371">
        <w:t>.</w:t>
      </w:r>
      <w:r>
        <w:t xml:space="preserve"> Taking the midpoint figure as</w:t>
      </w:r>
      <w:r w:rsidRPr="00AE05B5">
        <w:t xml:space="preserve"> </w:t>
      </w:r>
      <w:r>
        <w:t>the total cost of the service, this is a cost of</w:t>
      </w:r>
      <w:r w:rsidRPr="00AE05B5">
        <w:t xml:space="preserve"> </w:t>
      </w:r>
      <w:r>
        <w:rPr>
          <w:b/>
        </w:rPr>
        <w:t>£1,300</w:t>
      </w:r>
      <w:r w:rsidRPr="00AE05B5">
        <w:rPr>
          <w:b/>
        </w:rPr>
        <w:t xml:space="preserve"> per </w:t>
      </w:r>
      <w:r>
        <w:rPr>
          <w:b/>
        </w:rPr>
        <w:t xml:space="preserve">referral </w:t>
      </w:r>
      <w:r w:rsidRPr="00466977">
        <w:t>[</w:t>
      </w:r>
      <w:r w:rsidRPr="00D67371">
        <w:rPr>
          <w:rStyle w:val="EndnoteReference"/>
        </w:rPr>
        <w:endnoteReference w:id="32"/>
      </w:r>
      <w:r w:rsidRPr="00466977">
        <w:t>]</w:t>
      </w:r>
      <w:r w:rsidRPr="00D67371">
        <w:rPr>
          <w:rFonts w:ascii="Calibri" w:eastAsia="Times New Roman" w:hAnsi="Calibri" w:cs="Times New Roman"/>
          <w:color w:val="000000"/>
          <w:lang w:val="en-AU"/>
        </w:rPr>
        <w:t>.</w:t>
      </w:r>
      <w:r>
        <w:rPr>
          <w:rFonts w:ascii="Calibri" w:eastAsia="Times New Roman" w:hAnsi="Calibri" w:cs="Times New Roman"/>
          <w:b/>
          <w:color w:val="000000"/>
          <w:lang w:val="en-AU"/>
        </w:rPr>
        <w:t xml:space="preserve"> </w:t>
      </w:r>
    </w:p>
    <w:p w14:paraId="26BB26C4" w14:textId="77777777" w:rsidR="002B5543" w:rsidRDefault="002B5543" w:rsidP="00543146">
      <w:pPr>
        <w:rPr>
          <w:rFonts w:ascii="Calibri" w:eastAsia="Times New Roman" w:hAnsi="Calibri" w:cs="Times New Roman"/>
          <w:b/>
          <w:color w:val="000000"/>
          <w:lang w:val="en-AU"/>
        </w:rPr>
      </w:pPr>
    </w:p>
    <w:p w14:paraId="20E505F0" w14:textId="7A30F85A" w:rsidR="002B5543" w:rsidRDefault="002B5543" w:rsidP="008451F0">
      <w:pPr>
        <w:rPr>
          <w:lang w:val="en-AU"/>
        </w:rPr>
      </w:pPr>
      <w:r>
        <w:rPr>
          <w:lang w:val="en-AU"/>
        </w:rPr>
        <w:t xml:space="preserve">The two tables below (Table 1 and Table 2) show the total cost of each component of the staff and non-staff expenses that were calculated in costing the service. </w:t>
      </w:r>
    </w:p>
    <w:p w14:paraId="2890CB67" w14:textId="78D2CF14" w:rsidR="002B5543" w:rsidRPr="00B74972" w:rsidRDefault="002B5543" w:rsidP="008451F0">
      <w:pPr>
        <w:pStyle w:val="Caption"/>
        <w:keepNext/>
        <w:rPr>
          <w:color w:val="auto"/>
          <w:sz w:val="28"/>
          <w:szCs w:val="28"/>
        </w:rPr>
      </w:pPr>
      <w:r w:rsidRPr="00B74972">
        <w:rPr>
          <w:color w:val="auto"/>
          <w:sz w:val="28"/>
          <w:szCs w:val="28"/>
        </w:rPr>
        <w:t xml:space="preserve">Table </w:t>
      </w:r>
      <w:r w:rsidR="003944CD" w:rsidRPr="00B74972">
        <w:rPr>
          <w:color w:val="auto"/>
          <w:sz w:val="28"/>
          <w:szCs w:val="28"/>
        </w:rPr>
        <w:fldChar w:fldCharType="begin"/>
      </w:r>
      <w:r w:rsidR="003944CD" w:rsidRPr="00B74972">
        <w:rPr>
          <w:color w:val="auto"/>
          <w:sz w:val="28"/>
          <w:szCs w:val="28"/>
        </w:rPr>
        <w:instrText xml:space="preserve"> SEQ Table \* ARABIC </w:instrText>
      </w:r>
      <w:r w:rsidR="003944CD" w:rsidRPr="00B74972">
        <w:rPr>
          <w:color w:val="auto"/>
          <w:sz w:val="28"/>
          <w:szCs w:val="28"/>
        </w:rPr>
        <w:fldChar w:fldCharType="separate"/>
      </w:r>
      <w:r w:rsidRPr="00B74972">
        <w:rPr>
          <w:noProof/>
          <w:color w:val="auto"/>
          <w:sz w:val="28"/>
          <w:szCs w:val="28"/>
        </w:rPr>
        <w:t>1</w:t>
      </w:r>
      <w:r w:rsidR="003944CD" w:rsidRPr="00B74972">
        <w:rPr>
          <w:noProof/>
          <w:color w:val="auto"/>
          <w:sz w:val="28"/>
          <w:szCs w:val="28"/>
        </w:rPr>
        <w:fldChar w:fldCharType="end"/>
      </w:r>
      <w:r w:rsidRPr="00B74972">
        <w:rPr>
          <w:color w:val="auto"/>
          <w:sz w:val="28"/>
          <w:szCs w:val="28"/>
        </w:rPr>
        <w:t xml:space="preserve">: Calculations of Sight for Surrey staff-related expenses, based on the midpoint of the range of calculations made using client throughput data for 2015/16, full staff costs and estimates of the time taken to deliver each stage of the vision rehabilitation service. </w:t>
      </w:r>
    </w:p>
    <w:tbl>
      <w:tblPr>
        <w:tblStyle w:val="OPMLightListorBox"/>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 Calculations of Sight for Surrey staff related expenses, based on client throughput data for 2015/16, salary information and estimates of the time taken to deliver each stage of the vision rehabilitation service."/>
        <w:tblDescription w:val="This table shows the total staff costs (in pounds) of each of the Sight for Surrey vision rehabilitation service stages, as well as the overall total for all staff related expenses - this overall total is £249,472. The table also shows all stage costs as percentages of the total cost of staff related expenses and of the overall cost of the vision rehabilitation service. "/>
      </w:tblPr>
      <w:tblGrid>
        <w:gridCol w:w="4536"/>
        <w:gridCol w:w="1560"/>
        <w:gridCol w:w="1784"/>
        <w:gridCol w:w="1759"/>
      </w:tblGrid>
      <w:tr w:rsidR="002B5543" w:rsidRPr="00FC71DF" w14:paraId="7BDC8D29" w14:textId="77777777" w:rsidTr="00B74972">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536" w:type="dxa"/>
            <w:noWrap/>
            <w:hideMark/>
          </w:tcPr>
          <w:p w14:paraId="44FDCE1D" w14:textId="77777777" w:rsidR="002B5543" w:rsidRPr="00AF588D" w:rsidRDefault="002B5543" w:rsidP="000C3689">
            <w:pPr>
              <w:spacing w:before="0" w:after="0"/>
              <w:rPr>
                <w:rFonts w:eastAsia="Times New Roman"/>
                <w:color w:val="000000"/>
                <w:lang w:val="en-AU"/>
              </w:rPr>
            </w:pPr>
            <w:r w:rsidRPr="32D8A4E4">
              <w:rPr>
                <w:rFonts w:eastAsia="Times New Roman"/>
                <w:color w:val="000000"/>
                <w:lang w:val="en-AU"/>
              </w:rPr>
              <w:t>Staff related expenses</w:t>
            </w:r>
          </w:p>
        </w:tc>
        <w:tc>
          <w:tcPr>
            <w:tcW w:w="1560" w:type="dxa"/>
            <w:hideMark/>
          </w:tcPr>
          <w:p w14:paraId="57D9054D" w14:textId="3E72C3C0" w:rsidR="002B5543" w:rsidRPr="00AF588D" w:rsidRDefault="002B5543" w:rsidP="000C3689">
            <w:pPr>
              <w:spacing w:before="0" w:after="0"/>
              <w:cnfStyle w:val="100000000000" w:firstRow="1" w:lastRow="0" w:firstColumn="0" w:lastColumn="0" w:oddVBand="0" w:evenVBand="0" w:oddHBand="0" w:evenHBand="0" w:firstRowFirstColumn="0" w:firstRowLastColumn="0" w:lastRowFirstColumn="0" w:lastRowLastColumn="0"/>
              <w:rPr>
                <w:rFonts w:eastAsia="Times New Roman"/>
                <w:color w:val="000000"/>
                <w:lang w:val="en-AU"/>
              </w:rPr>
            </w:pPr>
            <w:r w:rsidRPr="32D8A4E4">
              <w:rPr>
                <w:rFonts w:eastAsia="Times New Roman"/>
                <w:color w:val="000000"/>
                <w:lang w:val="en-AU"/>
              </w:rPr>
              <w:t>Cost</w:t>
            </w:r>
            <w:r>
              <w:br/>
            </w:r>
            <w:r w:rsidRPr="32D8A4E4">
              <w:rPr>
                <w:rFonts w:eastAsia="Times New Roman"/>
                <w:color w:val="000000"/>
                <w:lang w:val="en-AU"/>
              </w:rPr>
              <w:t>(to nearest £)</w:t>
            </w:r>
          </w:p>
        </w:tc>
        <w:tc>
          <w:tcPr>
            <w:tcW w:w="1784" w:type="dxa"/>
          </w:tcPr>
          <w:p w14:paraId="3BAD41DA" w14:textId="77777777" w:rsidR="002B5543" w:rsidRPr="00AF588D" w:rsidRDefault="002B5543" w:rsidP="000C3689">
            <w:pPr>
              <w:spacing w:before="0" w:after="0"/>
              <w:cnfStyle w:val="100000000000" w:firstRow="1" w:lastRow="0" w:firstColumn="0" w:lastColumn="0" w:oddVBand="0" w:evenVBand="0" w:oddHBand="0" w:evenHBand="0" w:firstRowFirstColumn="0" w:firstRowLastColumn="0" w:lastRowFirstColumn="0" w:lastRowLastColumn="0"/>
              <w:rPr>
                <w:rFonts w:eastAsia="Times New Roman"/>
                <w:color w:val="000000"/>
                <w:lang w:val="en-AU"/>
              </w:rPr>
            </w:pPr>
            <w:r w:rsidRPr="32D8A4E4">
              <w:rPr>
                <w:rFonts w:eastAsia="Times New Roman"/>
                <w:color w:val="000000"/>
                <w:lang w:val="en-AU"/>
              </w:rPr>
              <w:t>Percentage of staff costs</w:t>
            </w:r>
          </w:p>
        </w:tc>
        <w:tc>
          <w:tcPr>
            <w:tcW w:w="1759" w:type="dxa"/>
            <w:noWrap/>
            <w:hideMark/>
          </w:tcPr>
          <w:p w14:paraId="00C40ABC" w14:textId="77777777" w:rsidR="002B5543" w:rsidRPr="00AF588D" w:rsidRDefault="002B5543" w:rsidP="000C3689">
            <w:pPr>
              <w:spacing w:before="0" w:after="0"/>
              <w:cnfStyle w:val="100000000000" w:firstRow="1" w:lastRow="0" w:firstColumn="0" w:lastColumn="0" w:oddVBand="0" w:evenVBand="0" w:oddHBand="0" w:evenHBand="0" w:firstRowFirstColumn="0" w:firstRowLastColumn="0" w:lastRowFirstColumn="0" w:lastRowLastColumn="0"/>
              <w:rPr>
                <w:rFonts w:eastAsia="Times New Roman"/>
                <w:color w:val="000000"/>
                <w:lang w:val="en-AU"/>
              </w:rPr>
            </w:pPr>
            <w:r w:rsidRPr="32D8A4E4">
              <w:rPr>
                <w:rFonts w:eastAsia="Times New Roman"/>
                <w:color w:val="000000"/>
                <w:lang w:val="en-AU"/>
              </w:rPr>
              <w:t>Percentage of total cost</w:t>
            </w:r>
          </w:p>
        </w:tc>
      </w:tr>
      <w:tr w:rsidR="002B5543" w:rsidRPr="00FC71DF" w14:paraId="32BE3AE3" w14:textId="77777777" w:rsidTr="00B7497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left w:val="none" w:sz="0" w:space="0" w:color="auto"/>
              <w:bottom w:val="none" w:sz="0" w:space="0" w:color="auto"/>
            </w:tcBorders>
            <w:noWrap/>
            <w:hideMark/>
          </w:tcPr>
          <w:p w14:paraId="572046F2" w14:textId="77777777" w:rsidR="002B5543" w:rsidRPr="00AF588D" w:rsidRDefault="002B5543" w:rsidP="000C3689">
            <w:pPr>
              <w:spacing w:before="60" w:after="60"/>
              <w:rPr>
                <w:rFonts w:eastAsia="Times New Roman"/>
                <w:color w:val="000000"/>
                <w:lang w:val="en-AU"/>
              </w:rPr>
            </w:pPr>
            <w:r w:rsidRPr="32D8A4E4">
              <w:rPr>
                <w:rFonts w:eastAsia="Times New Roman"/>
                <w:color w:val="000000"/>
                <w:lang w:val="en-AU"/>
              </w:rPr>
              <w:t>A1. Referrals: CVI referrals handling</w:t>
            </w:r>
          </w:p>
          <w:p w14:paraId="0C4E8A42" w14:textId="77777777" w:rsidR="002B5543" w:rsidRPr="00AF588D" w:rsidRDefault="002B5543" w:rsidP="000C3689">
            <w:pPr>
              <w:spacing w:before="60" w:after="60"/>
              <w:rPr>
                <w:rFonts w:eastAsia="Times New Roman"/>
                <w:b w:val="0"/>
                <w:color w:val="000000"/>
                <w:lang w:val="en-AU"/>
              </w:rPr>
            </w:pPr>
            <w:r w:rsidRPr="32D8A4E4">
              <w:rPr>
                <w:rFonts w:eastAsia="Times New Roman"/>
                <w:b w:val="0"/>
                <w:color w:val="000000"/>
                <w:lang w:val="en-AU"/>
              </w:rPr>
              <w:t>Delivered by a Specialist Rehabilitation Administrator</w:t>
            </w:r>
          </w:p>
        </w:tc>
        <w:tc>
          <w:tcPr>
            <w:tcW w:w="1560" w:type="dxa"/>
            <w:tcBorders>
              <w:top w:val="none" w:sz="0" w:space="0" w:color="auto"/>
              <w:bottom w:val="none" w:sz="0" w:space="0" w:color="auto"/>
            </w:tcBorders>
            <w:noWrap/>
            <w:hideMark/>
          </w:tcPr>
          <w:p w14:paraId="3C1ABF5F" w14:textId="16C8F81B" w:rsidR="002B5543" w:rsidRPr="00AF588D" w:rsidRDefault="002B5543" w:rsidP="000C3689">
            <w:pPr>
              <w:spacing w:before="60" w:after="60"/>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val="en-AU"/>
              </w:rPr>
            </w:pPr>
            <w:r w:rsidRPr="32D8A4E4">
              <w:rPr>
                <w:rFonts w:eastAsia="Times New Roman"/>
                <w:color w:val="000000"/>
                <w:lang w:val="en-AU"/>
              </w:rPr>
              <w:t>£4,048</w:t>
            </w:r>
          </w:p>
        </w:tc>
        <w:tc>
          <w:tcPr>
            <w:tcW w:w="1784" w:type="dxa"/>
            <w:tcBorders>
              <w:top w:val="none" w:sz="0" w:space="0" w:color="auto"/>
              <w:bottom w:val="none" w:sz="0" w:space="0" w:color="auto"/>
            </w:tcBorders>
          </w:tcPr>
          <w:p w14:paraId="692C7E98" w14:textId="39BCE26C" w:rsidR="002B5543" w:rsidRPr="00AF588D" w:rsidRDefault="002B5543" w:rsidP="000C3689">
            <w:pPr>
              <w:spacing w:before="60" w:after="60"/>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val="en-AU"/>
              </w:rPr>
            </w:pPr>
            <w:r w:rsidRPr="32D8A4E4">
              <w:rPr>
                <w:rFonts w:eastAsia="Times New Roman"/>
                <w:color w:val="000000"/>
                <w:lang w:val="en-AU"/>
              </w:rPr>
              <w:t>0.6%</w:t>
            </w:r>
          </w:p>
        </w:tc>
        <w:tc>
          <w:tcPr>
            <w:tcW w:w="1759" w:type="dxa"/>
            <w:tcBorders>
              <w:top w:val="none" w:sz="0" w:space="0" w:color="auto"/>
              <w:bottom w:val="none" w:sz="0" w:space="0" w:color="auto"/>
              <w:right w:val="none" w:sz="0" w:space="0" w:color="auto"/>
            </w:tcBorders>
            <w:noWrap/>
            <w:hideMark/>
          </w:tcPr>
          <w:p w14:paraId="6B017A50" w14:textId="1E47198F" w:rsidR="002B5543" w:rsidRPr="00AF588D" w:rsidRDefault="002B5543" w:rsidP="000C3689">
            <w:pPr>
              <w:spacing w:before="60" w:after="60"/>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val="en-AU"/>
              </w:rPr>
            </w:pPr>
            <w:r w:rsidRPr="32D8A4E4">
              <w:rPr>
                <w:rFonts w:eastAsia="Times New Roman"/>
                <w:color w:val="000000"/>
                <w:lang w:val="en-AU"/>
              </w:rPr>
              <w:t>0.4%</w:t>
            </w:r>
          </w:p>
        </w:tc>
      </w:tr>
      <w:tr w:rsidR="002B5543" w:rsidRPr="00FC71DF" w14:paraId="0FC7688C" w14:textId="77777777" w:rsidTr="00B74972">
        <w:trPr>
          <w:trHeight w:val="280"/>
        </w:trPr>
        <w:tc>
          <w:tcPr>
            <w:cnfStyle w:val="001000000000" w:firstRow="0" w:lastRow="0" w:firstColumn="1" w:lastColumn="0" w:oddVBand="0" w:evenVBand="0" w:oddHBand="0" w:evenHBand="0" w:firstRowFirstColumn="0" w:firstRowLastColumn="0" w:lastRowFirstColumn="0" w:lastRowLastColumn="0"/>
            <w:tcW w:w="4536" w:type="dxa"/>
            <w:noWrap/>
            <w:hideMark/>
          </w:tcPr>
          <w:p w14:paraId="46E5D8A0" w14:textId="77777777" w:rsidR="002B5543" w:rsidRPr="00AF588D" w:rsidRDefault="002B5543" w:rsidP="000C3689">
            <w:pPr>
              <w:spacing w:before="60" w:after="60"/>
              <w:rPr>
                <w:rFonts w:eastAsia="Times New Roman"/>
                <w:color w:val="000000"/>
                <w:lang w:val="en-AU"/>
              </w:rPr>
            </w:pPr>
            <w:r w:rsidRPr="32D8A4E4">
              <w:rPr>
                <w:rFonts w:eastAsia="Times New Roman"/>
                <w:color w:val="000000"/>
                <w:lang w:val="en-AU"/>
              </w:rPr>
              <w:t>A2. Referrals: Non-CVI referrals handling</w:t>
            </w:r>
          </w:p>
          <w:p w14:paraId="7AB45ADF" w14:textId="77777777" w:rsidR="002B5543" w:rsidRPr="00AF588D" w:rsidRDefault="002B5543" w:rsidP="000C3689">
            <w:pPr>
              <w:spacing w:before="60" w:after="60"/>
              <w:rPr>
                <w:rFonts w:eastAsia="Times New Roman"/>
                <w:b w:val="0"/>
                <w:color w:val="000000"/>
                <w:lang w:val="en-AU"/>
              </w:rPr>
            </w:pPr>
            <w:r w:rsidRPr="32D8A4E4">
              <w:rPr>
                <w:rFonts w:eastAsia="Times New Roman"/>
                <w:b w:val="0"/>
                <w:color w:val="000000"/>
                <w:lang w:val="en-AU"/>
              </w:rPr>
              <w:t>Delivered by a Helpdesk Advisor</w:t>
            </w:r>
          </w:p>
        </w:tc>
        <w:tc>
          <w:tcPr>
            <w:tcW w:w="1560" w:type="dxa"/>
            <w:noWrap/>
            <w:hideMark/>
          </w:tcPr>
          <w:p w14:paraId="740F1AAA" w14:textId="28AC5200" w:rsidR="002B5543" w:rsidRPr="00AF588D" w:rsidRDefault="002B5543" w:rsidP="000C3689">
            <w:pPr>
              <w:spacing w:before="60" w:after="60"/>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val="en-AU"/>
              </w:rPr>
            </w:pPr>
            <w:r w:rsidRPr="32D8A4E4">
              <w:rPr>
                <w:rFonts w:eastAsia="Times New Roman"/>
                <w:color w:val="000000"/>
                <w:lang w:val="en-AU"/>
              </w:rPr>
              <w:t>£596</w:t>
            </w:r>
          </w:p>
        </w:tc>
        <w:tc>
          <w:tcPr>
            <w:tcW w:w="1784" w:type="dxa"/>
          </w:tcPr>
          <w:p w14:paraId="027EDD21" w14:textId="75D295AD" w:rsidR="002B5543" w:rsidRPr="00AF588D" w:rsidRDefault="002B5543" w:rsidP="000C3689">
            <w:pPr>
              <w:spacing w:before="60" w:after="60"/>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val="en-AU"/>
              </w:rPr>
            </w:pPr>
            <w:r w:rsidRPr="32D8A4E4">
              <w:rPr>
                <w:rFonts w:eastAsia="Times New Roman"/>
                <w:color w:val="000000"/>
                <w:lang w:val="en-AU"/>
              </w:rPr>
              <w:t>0.1%</w:t>
            </w:r>
          </w:p>
        </w:tc>
        <w:tc>
          <w:tcPr>
            <w:tcW w:w="1759" w:type="dxa"/>
            <w:noWrap/>
            <w:hideMark/>
          </w:tcPr>
          <w:p w14:paraId="57F5E7B8" w14:textId="77777777" w:rsidR="002B5543" w:rsidRPr="00AF588D" w:rsidRDefault="002B5543" w:rsidP="000C3689">
            <w:pPr>
              <w:spacing w:before="60" w:after="60"/>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val="en-AU"/>
              </w:rPr>
            </w:pPr>
            <w:r w:rsidRPr="32D8A4E4">
              <w:rPr>
                <w:rFonts w:eastAsia="Times New Roman"/>
                <w:color w:val="000000"/>
                <w:lang w:val="en-AU"/>
              </w:rPr>
              <w:t>0.1%</w:t>
            </w:r>
          </w:p>
        </w:tc>
      </w:tr>
      <w:tr w:rsidR="002B5543" w:rsidRPr="00FC71DF" w14:paraId="329F3792" w14:textId="77777777" w:rsidTr="00B7497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left w:val="none" w:sz="0" w:space="0" w:color="auto"/>
              <w:bottom w:val="none" w:sz="0" w:space="0" w:color="auto"/>
            </w:tcBorders>
            <w:noWrap/>
            <w:hideMark/>
          </w:tcPr>
          <w:p w14:paraId="70028026" w14:textId="77777777" w:rsidR="002B5543" w:rsidRPr="00AF588D" w:rsidRDefault="002B5543" w:rsidP="000C3689">
            <w:pPr>
              <w:spacing w:before="60" w:after="60"/>
              <w:rPr>
                <w:rFonts w:eastAsia="Times New Roman"/>
                <w:color w:val="000000"/>
                <w:lang w:val="en-AU"/>
              </w:rPr>
            </w:pPr>
            <w:r w:rsidRPr="32D8A4E4">
              <w:rPr>
                <w:rFonts w:eastAsia="Times New Roman"/>
                <w:color w:val="000000"/>
                <w:lang w:val="en-AU"/>
              </w:rPr>
              <w:t>B. Initial Telephone Assessment</w:t>
            </w:r>
          </w:p>
          <w:p w14:paraId="2AFB21F9" w14:textId="77777777" w:rsidR="002B5543" w:rsidRPr="00AF588D" w:rsidRDefault="002B5543" w:rsidP="000C3689">
            <w:pPr>
              <w:spacing w:before="60" w:after="60"/>
              <w:rPr>
                <w:rFonts w:eastAsia="Times New Roman"/>
                <w:b w:val="0"/>
                <w:color w:val="000000"/>
                <w:lang w:val="en-AU"/>
              </w:rPr>
            </w:pPr>
            <w:r w:rsidRPr="32D8A4E4">
              <w:rPr>
                <w:rFonts w:eastAsia="Times New Roman"/>
                <w:b w:val="0"/>
                <w:color w:val="000000"/>
                <w:lang w:val="en-AU"/>
              </w:rPr>
              <w:t>Delivered by a Specialist Rehabilitation Administrator</w:t>
            </w:r>
          </w:p>
        </w:tc>
        <w:tc>
          <w:tcPr>
            <w:tcW w:w="1560" w:type="dxa"/>
            <w:tcBorders>
              <w:top w:val="none" w:sz="0" w:space="0" w:color="auto"/>
              <w:bottom w:val="none" w:sz="0" w:space="0" w:color="auto"/>
            </w:tcBorders>
            <w:noWrap/>
            <w:hideMark/>
          </w:tcPr>
          <w:p w14:paraId="7F532425" w14:textId="2AC4F939" w:rsidR="002B5543" w:rsidRPr="00AF588D" w:rsidRDefault="002B5543" w:rsidP="000C3689">
            <w:pPr>
              <w:spacing w:before="60" w:after="60"/>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val="en-AU"/>
              </w:rPr>
            </w:pPr>
            <w:r w:rsidRPr="32D8A4E4">
              <w:rPr>
                <w:rFonts w:eastAsia="Times New Roman"/>
                <w:color w:val="000000"/>
                <w:lang w:val="en-AU"/>
              </w:rPr>
              <w:t>£13,703</w:t>
            </w:r>
          </w:p>
        </w:tc>
        <w:tc>
          <w:tcPr>
            <w:tcW w:w="1784" w:type="dxa"/>
            <w:tcBorders>
              <w:top w:val="none" w:sz="0" w:space="0" w:color="auto"/>
              <w:bottom w:val="none" w:sz="0" w:space="0" w:color="auto"/>
            </w:tcBorders>
          </w:tcPr>
          <w:p w14:paraId="339EA5B7" w14:textId="622B1058" w:rsidR="002B5543" w:rsidRPr="00AF588D" w:rsidRDefault="002B5543" w:rsidP="000C3689">
            <w:pPr>
              <w:spacing w:before="60" w:after="60"/>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val="en-AU"/>
              </w:rPr>
            </w:pPr>
            <w:r w:rsidRPr="32D8A4E4">
              <w:rPr>
                <w:rFonts w:eastAsia="Times New Roman"/>
                <w:color w:val="000000"/>
                <w:lang w:val="en-AU"/>
              </w:rPr>
              <w:t>1.9%</w:t>
            </w:r>
          </w:p>
        </w:tc>
        <w:tc>
          <w:tcPr>
            <w:tcW w:w="1759" w:type="dxa"/>
            <w:tcBorders>
              <w:top w:val="none" w:sz="0" w:space="0" w:color="auto"/>
              <w:bottom w:val="none" w:sz="0" w:space="0" w:color="auto"/>
              <w:right w:val="none" w:sz="0" w:space="0" w:color="auto"/>
            </w:tcBorders>
            <w:noWrap/>
            <w:hideMark/>
          </w:tcPr>
          <w:p w14:paraId="68482423" w14:textId="291EFB61" w:rsidR="002B5543" w:rsidRPr="00AF588D" w:rsidRDefault="002B5543" w:rsidP="000C3689">
            <w:pPr>
              <w:spacing w:before="60" w:after="60"/>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val="en-AU"/>
              </w:rPr>
            </w:pPr>
            <w:r w:rsidRPr="32D8A4E4">
              <w:rPr>
                <w:rFonts w:eastAsia="Times New Roman"/>
                <w:color w:val="000000"/>
                <w:lang w:val="en-AU"/>
              </w:rPr>
              <w:t>1.5%</w:t>
            </w:r>
          </w:p>
        </w:tc>
      </w:tr>
      <w:tr w:rsidR="002B5543" w:rsidRPr="00FC71DF" w14:paraId="5A8B62A7" w14:textId="77777777" w:rsidTr="00B74972">
        <w:trPr>
          <w:trHeight w:val="280"/>
        </w:trPr>
        <w:tc>
          <w:tcPr>
            <w:cnfStyle w:val="001000000000" w:firstRow="0" w:lastRow="0" w:firstColumn="1" w:lastColumn="0" w:oddVBand="0" w:evenVBand="0" w:oddHBand="0" w:evenHBand="0" w:firstRowFirstColumn="0" w:firstRowLastColumn="0" w:lastRowFirstColumn="0" w:lastRowLastColumn="0"/>
            <w:tcW w:w="4536" w:type="dxa"/>
            <w:noWrap/>
            <w:hideMark/>
          </w:tcPr>
          <w:p w14:paraId="2123A240" w14:textId="77777777" w:rsidR="002B5543" w:rsidRPr="00AF588D" w:rsidRDefault="002B5543" w:rsidP="000C3689">
            <w:pPr>
              <w:spacing w:before="60" w:after="60"/>
              <w:rPr>
                <w:rFonts w:eastAsia="Times New Roman"/>
                <w:color w:val="000000"/>
                <w:lang w:val="en-AU"/>
              </w:rPr>
            </w:pPr>
            <w:r w:rsidRPr="32D8A4E4">
              <w:rPr>
                <w:rFonts w:eastAsia="Times New Roman"/>
                <w:color w:val="000000"/>
                <w:lang w:val="en-AU"/>
              </w:rPr>
              <w:t xml:space="preserve">C. Pre-Assessment </w:t>
            </w:r>
          </w:p>
          <w:p w14:paraId="6F142C4A" w14:textId="77777777" w:rsidR="002B5543" w:rsidRPr="00AF588D" w:rsidRDefault="002B5543" w:rsidP="000C3689">
            <w:pPr>
              <w:spacing w:before="60" w:after="60"/>
              <w:rPr>
                <w:rFonts w:eastAsia="Times New Roman"/>
                <w:b w:val="0"/>
                <w:color w:val="000000"/>
                <w:lang w:val="en-AU"/>
              </w:rPr>
            </w:pPr>
            <w:r w:rsidRPr="32D8A4E4">
              <w:rPr>
                <w:rFonts w:eastAsia="Times New Roman"/>
                <w:b w:val="0"/>
                <w:color w:val="000000"/>
                <w:lang w:val="en-AU"/>
              </w:rPr>
              <w:t>Delivered by a Rehabilitation Support Worker</w:t>
            </w:r>
          </w:p>
        </w:tc>
        <w:tc>
          <w:tcPr>
            <w:tcW w:w="1560" w:type="dxa"/>
            <w:noWrap/>
            <w:hideMark/>
          </w:tcPr>
          <w:p w14:paraId="73F4182D" w14:textId="249E71EF" w:rsidR="002B5543" w:rsidRPr="00AF588D" w:rsidRDefault="002B5543" w:rsidP="000C3689">
            <w:pPr>
              <w:spacing w:before="60" w:after="60"/>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val="en-AU"/>
              </w:rPr>
            </w:pPr>
            <w:r w:rsidRPr="32D8A4E4">
              <w:rPr>
                <w:rFonts w:eastAsia="Times New Roman"/>
                <w:color w:val="000000"/>
                <w:lang w:val="en-AU"/>
              </w:rPr>
              <w:t>£8,604</w:t>
            </w:r>
          </w:p>
        </w:tc>
        <w:tc>
          <w:tcPr>
            <w:tcW w:w="1784" w:type="dxa"/>
          </w:tcPr>
          <w:p w14:paraId="76507BF1" w14:textId="3D1A8F7C" w:rsidR="002B5543" w:rsidRPr="00AF588D" w:rsidRDefault="002B5543" w:rsidP="000C3689">
            <w:pPr>
              <w:spacing w:before="60" w:after="60"/>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val="en-AU"/>
              </w:rPr>
            </w:pPr>
            <w:r w:rsidRPr="32D8A4E4">
              <w:rPr>
                <w:rFonts w:eastAsia="Times New Roman"/>
                <w:color w:val="000000"/>
                <w:lang w:val="en-AU"/>
              </w:rPr>
              <w:t>1.2%</w:t>
            </w:r>
          </w:p>
        </w:tc>
        <w:tc>
          <w:tcPr>
            <w:tcW w:w="1759" w:type="dxa"/>
            <w:noWrap/>
            <w:hideMark/>
          </w:tcPr>
          <w:p w14:paraId="08AFC7A9" w14:textId="6386B3BA" w:rsidR="002B5543" w:rsidRPr="00AF588D" w:rsidRDefault="002B5543" w:rsidP="000C3689">
            <w:pPr>
              <w:spacing w:before="60" w:after="60"/>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val="en-AU"/>
              </w:rPr>
            </w:pPr>
            <w:r w:rsidRPr="32D8A4E4">
              <w:rPr>
                <w:rFonts w:eastAsia="Times New Roman"/>
                <w:color w:val="000000"/>
                <w:lang w:val="en-AU"/>
              </w:rPr>
              <w:t>0.9%</w:t>
            </w:r>
          </w:p>
        </w:tc>
      </w:tr>
      <w:tr w:rsidR="002B5543" w:rsidRPr="00FC71DF" w14:paraId="24F659C6" w14:textId="77777777" w:rsidTr="00B7497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left w:val="none" w:sz="0" w:space="0" w:color="auto"/>
              <w:bottom w:val="none" w:sz="0" w:space="0" w:color="auto"/>
            </w:tcBorders>
            <w:noWrap/>
            <w:hideMark/>
          </w:tcPr>
          <w:p w14:paraId="30548CB7" w14:textId="77777777" w:rsidR="002B5543" w:rsidRPr="00AF588D" w:rsidRDefault="002B5543" w:rsidP="000C3689">
            <w:pPr>
              <w:spacing w:before="60" w:after="60"/>
              <w:rPr>
                <w:rFonts w:eastAsia="Times New Roman"/>
                <w:color w:val="000000"/>
                <w:lang w:val="en-AU"/>
              </w:rPr>
            </w:pPr>
            <w:r w:rsidRPr="32D8A4E4">
              <w:rPr>
                <w:rFonts w:eastAsia="Times New Roman"/>
                <w:color w:val="000000"/>
                <w:lang w:val="en-AU"/>
              </w:rPr>
              <w:t>D. Specialist Assessment</w:t>
            </w:r>
          </w:p>
          <w:p w14:paraId="36A71F79" w14:textId="77777777" w:rsidR="002B5543" w:rsidRPr="00AF588D" w:rsidRDefault="002B5543" w:rsidP="000C3689">
            <w:pPr>
              <w:spacing w:before="60" w:after="60"/>
              <w:rPr>
                <w:rFonts w:eastAsia="Times New Roman"/>
                <w:b w:val="0"/>
                <w:color w:val="000000"/>
                <w:lang w:val="en-AU"/>
              </w:rPr>
            </w:pPr>
            <w:r w:rsidRPr="32D8A4E4">
              <w:rPr>
                <w:rFonts w:eastAsia="Times New Roman"/>
                <w:b w:val="0"/>
                <w:color w:val="000000"/>
                <w:lang w:val="en-AU"/>
              </w:rPr>
              <w:t>Delivered by a Rehabilitation Worker</w:t>
            </w:r>
          </w:p>
        </w:tc>
        <w:tc>
          <w:tcPr>
            <w:tcW w:w="1560" w:type="dxa"/>
            <w:tcBorders>
              <w:top w:val="none" w:sz="0" w:space="0" w:color="auto"/>
              <w:bottom w:val="none" w:sz="0" w:space="0" w:color="auto"/>
            </w:tcBorders>
            <w:noWrap/>
            <w:hideMark/>
          </w:tcPr>
          <w:p w14:paraId="446F3A60" w14:textId="289D89F0" w:rsidR="002B5543" w:rsidRPr="00AF588D" w:rsidRDefault="002B5543" w:rsidP="000C3689">
            <w:pPr>
              <w:spacing w:before="60" w:after="60"/>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val="en-AU"/>
              </w:rPr>
            </w:pPr>
            <w:r w:rsidRPr="32D8A4E4">
              <w:rPr>
                <w:rFonts w:eastAsia="Times New Roman"/>
                <w:color w:val="000000"/>
                <w:lang w:val="en-AU"/>
              </w:rPr>
              <w:t>£174,713</w:t>
            </w:r>
          </w:p>
        </w:tc>
        <w:tc>
          <w:tcPr>
            <w:tcW w:w="1784" w:type="dxa"/>
            <w:tcBorders>
              <w:top w:val="none" w:sz="0" w:space="0" w:color="auto"/>
              <w:bottom w:val="none" w:sz="0" w:space="0" w:color="auto"/>
            </w:tcBorders>
          </w:tcPr>
          <w:p w14:paraId="7A1F5169" w14:textId="3EC18D09" w:rsidR="002B5543" w:rsidRPr="00AF588D" w:rsidRDefault="002B5543" w:rsidP="000C3689">
            <w:pPr>
              <w:spacing w:before="60" w:after="60"/>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val="en-AU"/>
              </w:rPr>
            </w:pPr>
            <w:r w:rsidRPr="32D8A4E4">
              <w:rPr>
                <w:rFonts w:eastAsia="Times New Roman"/>
                <w:color w:val="000000"/>
                <w:lang w:val="en-AU"/>
              </w:rPr>
              <w:t>24.4%</w:t>
            </w:r>
          </w:p>
        </w:tc>
        <w:tc>
          <w:tcPr>
            <w:tcW w:w="1759" w:type="dxa"/>
            <w:tcBorders>
              <w:top w:val="none" w:sz="0" w:space="0" w:color="auto"/>
              <w:bottom w:val="none" w:sz="0" w:space="0" w:color="auto"/>
              <w:right w:val="none" w:sz="0" w:space="0" w:color="auto"/>
            </w:tcBorders>
            <w:noWrap/>
            <w:hideMark/>
          </w:tcPr>
          <w:p w14:paraId="1E830F80" w14:textId="68CDE07D" w:rsidR="002B5543" w:rsidRPr="00AF588D" w:rsidRDefault="002B5543" w:rsidP="000C3689">
            <w:pPr>
              <w:spacing w:before="60" w:after="60"/>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val="en-AU"/>
              </w:rPr>
            </w:pPr>
            <w:r w:rsidRPr="32D8A4E4">
              <w:rPr>
                <w:rFonts w:eastAsia="Times New Roman"/>
                <w:color w:val="000000"/>
                <w:lang w:val="en-AU"/>
              </w:rPr>
              <w:t>19.0%</w:t>
            </w:r>
          </w:p>
        </w:tc>
      </w:tr>
      <w:tr w:rsidR="002B5543" w:rsidRPr="00FC71DF" w14:paraId="0FFE7E8C" w14:textId="77777777" w:rsidTr="00B74972">
        <w:trPr>
          <w:trHeight w:val="280"/>
        </w:trPr>
        <w:tc>
          <w:tcPr>
            <w:cnfStyle w:val="001000000000" w:firstRow="0" w:lastRow="0" w:firstColumn="1" w:lastColumn="0" w:oddVBand="0" w:evenVBand="0" w:oddHBand="0" w:evenHBand="0" w:firstRowFirstColumn="0" w:firstRowLastColumn="0" w:lastRowFirstColumn="0" w:lastRowLastColumn="0"/>
            <w:tcW w:w="4536" w:type="dxa"/>
            <w:noWrap/>
            <w:hideMark/>
          </w:tcPr>
          <w:p w14:paraId="19DEC438" w14:textId="77777777" w:rsidR="002B5543" w:rsidRPr="00AF588D" w:rsidRDefault="002B5543" w:rsidP="000C3689">
            <w:pPr>
              <w:spacing w:before="60" w:after="60"/>
              <w:rPr>
                <w:rFonts w:eastAsia="Times New Roman"/>
                <w:color w:val="000000"/>
                <w:lang w:val="en-AU"/>
              </w:rPr>
            </w:pPr>
            <w:r w:rsidRPr="32D8A4E4">
              <w:rPr>
                <w:rFonts w:eastAsia="Times New Roman"/>
                <w:color w:val="000000"/>
                <w:lang w:val="en-AU"/>
              </w:rPr>
              <w:t xml:space="preserve">E. In-depth rehabilitation </w:t>
            </w:r>
          </w:p>
          <w:p w14:paraId="121A502B" w14:textId="77777777" w:rsidR="002B5543" w:rsidRPr="00AF588D" w:rsidRDefault="002B5543" w:rsidP="000C3689">
            <w:pPr>
              <w:spacing w:before="60" w:after="60"/>
              <w:rPr>
                <w:rFonts w:eastAsia="Times New Roman"/>
                <w:b w:val="0"/>
                <w:color w:val="000000"/>
                <w:lang w:val="en-AU"/>
              </w:rPr>
            </w:pPr>
            <w:r w:rsidRPr="32D8A4E4">
              <w:rPr>
                <w:rFonts w:eastAsia="Times New Roman"/>
                <w:b w:val="0"/>
                <w:color w:val="000000"/>
                <w:lang w:val="en-AU"/>
              </w:rPr>
              <w:t>Delivered by a Rehabilitation Worker; supported by a Rehabilitation Support Worker</w:t>
            </w:r>
          </w:p>
        </w:tc>
        <w:tc>
          <w:tcPr>
            <w:tcW w:w="1560" w:type="dxa"/>
            <w:noWrap/>
            <w:hideMark/>
          </w:tcPr>
          <w:p w14:paraId="16824176" w14:textId="10B7A723" w:rsidR="002B5543" w:rsidRPr="00AF588D" w:rsidRDefault="002B5543" w:rsidP="000C3689">
            <w:pPr>
              <w:spacing w:before="60" w:after="60"/>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val="en-AU"/>
              </w:rPr>
            </w:pPr>
            <w:r w:rsidRPr="32D8A4E4">
              <w:rPr>
                <w:rFonts w:eastAsia="Times New Roman"/>
                <w:color w:val="000000"/>
                <w:lang w:val="en-AU"/>
              </w:rPr>
              <w:t>£451,859</w:t>
            </w:r>
          </w:p>
        </w:tc>
        <w:tc>
          <w:tcPr>
            <w:tcW w:w="1784" w:type="dxa"/>
          </w:tcPr>
          <w:p w14:paraId="1E161C6B" w14:textId="7093A0B6" w:rsidR="002B5543" w:rsidRPr="00AF588D" w:rsidRDefault="002B5543" w:rsidP="000C3689">
            <w:pPr>
              <w:spacing w:before="60" w:after="60"/>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val="en-AU"/>
              </w:rPr>
            </w:pPr>
            <w:r w:rsidRPr="32D8A4E4">
              <w:rPr>
                <w:rFonts w:eastAsia="Times New Roman"/>
                <w:color w:val="000000"/>
                <w:lang w:val="en-AU"/>
              </w:rPr>
              <w:t>63.0%</w:t>
            </w:r>
          </w:p>
        </w:tc>
        <w:tc>
          <w:tcPr>
            <w:tcW w:w="1759" w:type="dxa"/>
            <w:noWrap/>
            <w:hideMark/>
          </w:tcPr>
          <w:p w14:paraId="514CF276" w14:textId="30449649" w:rsidR="002B5543" w:rsidRPr="00AF588D" w:rsidRDefault="002B5543" w:rsidP="000C3689">
            <w:pPr>
              <w:spacing w:before="60" w:after="60"/>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val="en-AU"/>
              </w:rPr>
            </w:pPr>
            <w:r w:rsidRPr="32D8A4E4">
              <w:rPr>
                <w:rFonts w:eastAsia="Times New Roman"/>
                <w:color w:val="000000"/>
                <w:lang w:val="en-AU"/>
              </w:rPr>
              <w:t>49.2%</w:t>
            </w:r>
          </w:p>
        </w:tc>
      </w:tr>
      <w:tr w:rsidR="002B5543" w:rsidRPr="00FC71DF" w14:paraId="2043C5BF" w14:textId="77777777" w:rsidTr="00B7497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left w:val="none" w:sz="0" w:space="0" w:color="auto"/>
              <w:bottom w:val="none" w:sz="0" w:space="0" w:color="auto"/>
            </w:tcBorders>
            <w:noWrap/>
            <w:hideMark/>
          </w:tcPr>
          <w:p w14:paraId="314986FE" w14:textId="77777777" w:rsidR="002B5543" w:rsidRPr="00AF588D" w:rsidRDefault="002B5543" w:rsidP="000C3689">
            <w:pPr>
              <w:spacing w:before="60" w:after="60"/>
              <w:rPr>
                <w:rFonts w:eastAsia="Times New Roman"/>
                <w:color w:val="000000"/>
                <w:lang w:val="en-AU"/>
              </w:rPr>
            </w:pPr>
            <w:r w:rsidRPr="32D8A4E4">
              <w:rPr>
                <w:rFonts w:eastAsia="Times New Roman"/>
                <w:color w:val="000000"/>
                <w:lang w:val="en-AU"/>
              </w:rPr>
              <w:t xml:space="preserve">F. Follow up call </w:t>
            </w:r>
          </w:p>
          <w:p w14:paraId="6CCC98B6" w14:textId="77777777" w:rsidR="002B5543" w:rsidRPr="00AF588D" w:rsidRDefault="002B5543" w:rsidP="000C3689">
            <w:pPr>
              <w:spacing w:before="60" w:after="60"/>
              <w:rPr>
                <w:rFonts w:eastAsia="Times New Roman"/>
                <w:b w:val="0"/>
                <w:color w:val="000000"/>
                <w:lang w:val="en-AU"/>
              </w:rPr>
            </w:pPr>
            <w:r w:rsidRPr="32D8A4E4">
              <w:rPr>
                <w:rFonts w:eastAsia="Times New Roman"/>
                <w:b w:val="0"/>
                <w:color w:val="000000"/>
                <w:lang w:val="en-AU"/>
              </w:rPr>
              <w:t>Delivered by a Rehabilitation Support Worker</w:t>
            </w:r>
          </w:p>
        </w:tc>
        <w:tc>
          <w:tcPr>
            <w:tcW w:w="1560" w:type="dxa"/>
            <w:tcBorders>
              <w:top w:val="none" w:sz="0" w:space="0" w:color="auto"/>
              <w:bottom w:val="none" w:sz="0" w:space="0" w:color="auto"/>
            </w:tcBorders>
            <w:noWrap/>
            <w:hideMark/>
          </w:tcPr>
          <w:p w14:paraId="000B612D" w14:textId="69844EEF" w:rsidR="002B5543" w:rsidRPr="00AF588D" w:rsidRDefault="002B5543" w:rsidP="000C3689">
            <w:pPr>
              <w:spacing w:before="60" w:after="60"/>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val="en-AU"/>
              </w:rPr>
            </w:pPr>
            <w:r w:rsidRPr="32D8A4E4">
              <w:rPr>
                <w:rFonts w:eastAsia="Times New Roman"/>
                <w:color w:val="000000"/>
                <w:lang w:val="en-AU"/>
              </w:rPr>
              <w:t>£5,551</w:t>
            </w:r>
          </w:p>
        </w:tc>
        <w:tc>
          <w:tcPr>
            <w:tcW w:w="1784" w:type="dxa"/>
            <w:tcBorders>
              <w:top w:val="none" w:sz="0" w:space="0" w:color="auto"/>
              <w:bottom w:val="none" w:sz="0" w:space="0" w:color="auto"/>
            </w:tcBorders>
          </w:tcPr>
          <w:p w14:paraId="4F9BB3EB" w14:textId="6FDA50A8" w:rsidR="002B5543" w:rsidRPr="00AF588D" w:rsidRDefault="002B5543" w:rsidP="000C3689">
            <w:pPr>
              <w:spacing w:before="60" w:after="60"/>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val="en-AU"/>
              </w:rPr>
            </w:pPr>
            <w:r w:rsidRPr="32D8A4E4">
              <w:rPr>
                <w:rFonts w:eastAsia="Times New Roman"/>
                <w:color w:val="000000"/>
                <w:lang w:val="en-AU"/>
              </w:rPr>
              <w:t>0.8%</w:t>
            </w:r>
          </w:p>
        </w:tc>
        <w:tc>
          <w:tcPr>
            <w:tcW w:w="1759" w:type="dxa"/>
            <w:tcBorders>
              <w:top w:val="none" w:sz="0" w:space="0" w:color="auto"/>
              <w:bottom w:val="none" w:sz="0" w:space="0" w:color="auto"/>
              <w:right w:val="none" w:sz="0" w:space="0" w:color="auto"/>
            </w:tcBorders>
            <w:noWrap/>
            <w:hideMark/>
          </w:tcPr>
          <w:p w14:paraId="23521D89" w14:textId="50ADE8E4" w:rsidR="002B5543" w:rsidRPr="00AF588D" w:rsidRDefault="002B5543" w:rsidP="000C3689">
            <w:pPr>
              <w:spacing w:before="60" w:after="60"/>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val="en-AU"/>
              </w:rPr>
            </w:pPr>
            <w:r w:rsidRPr="32D8A4E4">
              <w:rPr>
                <w:rFonts w:eastAsia="Times New Roman"/>
                <w:color w:val="000000"/>
                <w:lang w:val="en-AU"/>
              </w:rPr>
              <w:t>0.6%</w:t>
            </w:r>
          </w:p>
        </w:tc>
      </w:tr>
      <w:tr w:rsidR="002B5543" w:rsidRPr="00FC71DF" w14:paraId="283E657D" w14:textId="77777777" w:rsidTr="00B74972">
        <w:trPr>
          <w:trHeight w:val="280"/>
        </w:trPr>
        <w:tc>
          <w:tcPr>
            <w:cnfStyle w:val="001000000000" w:firstRow="0" w:lastRow="0" w:firstColumn="1" w:lastColumn="0" w:oddVBand="0" w:evenVBand="0" w:oddHBand="0" w:evenHBand="0" w:firstRowFirstColumn="0" w:firstRowLastColumn="0" w:lastRowFirstColumn="0" w:lastRowLastColumn="0"/>
            <w:tcW w:w="4536" w:type="dxa"/>
            <w:noWrap/>
            <w:hideMark/>
          </w:tcPr>
          <w:p w14:paraId="6305F3F8" w14:textId="77777777" w:rsidR="002B5543" w:rsidRPr="00AF588D" w:rsidRDefault="002B5543" w:rsidP="000C3689">
            <w:pPr>
              <w:spacing w:before="60" w:after="60"/>
              <w:rPr>
                <w:rFonts w:eastAsia="Times New Roman"/>
                <w:color w:val="000000"/>
                <w:lang w:val="en-AU"/>
              </w:rPr>
            </w:pPr>
            <w:r w:rsidRPr="32D8A4E4">
              <w:rPr>
                <w:rFonts w:eastAsia="Times New Roman"/>
                <w:color w:val="000000"/>
                <w:lang w:val="en-AU"/>
              </w:rPr>
              <w:t xml:space="preserve">Management tasks: Complex case supervision </w:t>
            </w:r>
          </w:p>
          <w:p w14:paraId="766D6B26" w14:textId="77777777" w:rsidR="002B5543" w:rsidRPr="00AF588D" w:rsidRDefault="002B5543" w:rsidP="000C3689">
            <w:pPr>
              <w:spacing w:before="60" w:after="60"/>
              <w:rPr>
                <w:rFonts w:eastAsia="Times New Roman"/>
                <w:b w:val="0"/>
                <w:color w:val="000000"/>
                <w:lang w:val="en-AU"/>
              </w:rPr>
            </w:pPr>
            <w:r w:rsidRPr="32D8A4E4">
              <w:rPr>
                <w:rFonts w:eastAsia="Times New Roman"/>
                <w:b w:val="0"/>
                <w:color w:val="000000"/>
                <w:lang w:val="en-AU"/>
              </w:rPr>
              <w:t>Delivered by the Service Manager</w:t>
            </w:r>
          </w:p>
        </w:tc>
        <w:tc>
          <w:tcPr>
            <w:tcW w:w="1560" w:type="dxa"/>
            <w:noWrap/>
            <w:hideMark/>
          </w:tcPr>
          <w:p w14:paraId="5EB48CE2" w14:textId="4E468405" w:rsidR="002B5543" w:rsidRPr="00AF588D" w:rsidRDefault="002B5543" w:rsidP="000C3689">
            <w:pPr>
              <w:spacing w:before="60" w:after="60"/>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val="en-AU"/>
              </w:rPr>
            </w:pPr>
            <w:r w:rsidRPr="32D8A4E4">
              <w:rPr>
                <w:rFonts w:eastAsia="Times New Roman"/>
                <w:color w:val="000000"/>
                <w:lang w:val="en-AU"/>
              </w:rPr>
              <w:t>£11,420</w:t>
            </w:r>
          </w:p>
        </w:tc>
        <w:tc>
          <w:tcPr>
            <w:tcW w:w="1784" w:type="dxa"/>
          </w:tcPr>
          <w:p w14:paraId="4F8DB283" w14:textId="764A846E" w:rsidR="002B5543" w:rsidRPr="00AF588D" w:rsidRDefault="002B5543" w:rsidP="000C3689">
            <w:pPr>
              <w:spacing w:before="60" w:after="60"/>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val="en-AU"/>
              </w:rPr>
            </w:pPr>
            <w:r w:rsidRPr="32D8A4E4">
              <w:rPr>
                <w:rFonts w:eastAsia="Times New Roman"/>
                <w:color w:val="000000"/>
                <w:lang w:val="en-AU"/>
              </w:rPr>
              <w:t>1.6%</w:t>
            </w:r>
          </w:p>
        </w:tc>
        <w:tc>
          <w:tcPr>
            <w:tcW w:w="1759" w:type="dxa"/>
            <w:noWrap/>
            <w:hideMark/>
          </w:tcPr>
          <w:p w14:paraId="0A062176" w14:textId="350D052C" w:rsidR="002B5543" w:rsidRPr="00AF588D" w:rsidRDefault="002B5543" w:rsidP="000C3689">
            <w:pPr>
              <w:spacing w:before="60" w:after="60"/>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val="en-AU"/>
              </w:rPr>
            </w:pPr>
            <w:r w:rsidRPr="32D8A4E4">
              <w:rPr>
                <w:rFonts w:eastAsia="Times New Roman"/>
                <w:color w:val="000000"/>
                <w:lang w:val="en-AU"/>
              </w:rPr>
              <w:t>1.2%</w:t>
            </w:r>
          </w:p>
        </w:tc>
      </w:tr>
      <w:tr w:rsidR="002B5543" w:rsidRPr="00FC71DF" w14:paraId="600BB4B5" w14:textId="77777777" w:rsidTr="00B7497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left w:val="none" w:sz="0" w:space="0" w:color="auto"/>
              <w:bottom w:val="none" w:sz="0" w:space="0" w:color="auto"/>
            </w:tcBorders>
            <w:noWrap/>
            <w:hideMark/>
          </w:tcPr>
          <w:p w14:paraId="7CC83A08" w14:textId="77777777" w:rsidR="002B5543" w:rsidRPr="00AF588D" w:rsidRDefault="002B5543" w:rsidP="000C3689">
            <w:pPr>
              <w:spacing w:before="60" w:after="60"/>
              <w:rPr>
                <w:rFonts w:eastAsia="Times New Roman"/>
                <w:color w:val="000000"/>
                <w:lang w:val="en-AU"/>
              </w:rPr>
            </w:pPr>
            <w:r w:rsidRPr="32D8A4E4">
              <w:rPr>
                <w:rFonts w:eastAsia="Times New Roman"/>
                <w:color w:val="000000"/>
                <w:lang w:val="en-AU"/>
              </w:rPr>
              <w:t>Management tasks: Service strategy, policy, process guidance</w:t>
            </w:r>
          </w:p>
          <w:p w14:paraId="28674C01" w14:textId="77777777" w:rsidR="002B5543" w:rsidRPr="00AF588D" w:rsidRDefault="002B5543" w:rsidP="000C3689">
            <w:pPr>
              <w:spacing w:before="60" w:after="60"/>
              <w:rPr>
                <w:rFonts w:eastAsia="Times New Roman"/>
                <w:b w:val="0"/>
                <w:color w:val="000000"/>
                <w:lang w:val="en-AU"/>
              </w:rPr>
            </w:pPr>
            <w:r w:rsidRPr="32D8A4E4">
              <w:rPr>
                <w:rFonts w:eastAsia="Times New Roman"/>
                <w:b w:val="0"/>
                <w:color w:val="000000"/>
                <w:lang w:val="en-AU"/>
              </w:rPr>
              <w:t>Delivered by the Service Manager</w:t>
            </w:r>
          </w:p>
        </w:tc>
        <w:tc>
          <w:tcPr>
            <w:tcW w:w="1560" w:type="dxa"/>
            <w:tcBorders>
              <w:top w:val="none" w:sz="0" w:space="0" w:color="auto"/>
              <w:bottom w:val="none" w:sz="0" w:space="0" w:color="auto"/>
            </w:tcBorders>
            <w:noWrap/>
            <w:hideMark/>
          </w:tcPr>
          <w:p w14:paraId="1DDB8906" w14:textId="5259D0EB" w:rsidR="002B5543" w:rsidRPr="00AF588D" w:rsidRDefault="002B5543" w:rsidP="000C3689">
            <w:pPr>
              <w:spacing w:before="60" w:after="60"/>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val="en-AU"/>
              </w:rPr>
            </w:pPr>
            <w:r w:rsidRPr="32D8A4E4">
              <w:rPr>
                <w:rFonts w:eastAsia="Times New Roman"/>
                <w:color w:val="000000"/>
                <w:lang w:val="en-AU"/>
              </w:rPr>
              <w:t>£25,884</w:t>
            </w:r>
          </w:p>
        </w:tc>
        <w:tc>
          <w:tcPr>
            <w:tcW w:w="1784" w:type="dxa"/>
            <w:tcBorders>
              <w:top w:val="none" w:sz="0" w:space="0" w:color="auto"/>
              <w:bottom w:val="none" w:sz="0" w:space="0" w:color="auto"/>
            </w:tcBorders>
          </w:tcPr>
          <w:p w14:paraId="0A2469AC" w14:textId="5AB0B31E" w:rsidR="002B5543" w:rsidRPr="00AF588D" w:rsidRDefault="002B5543" w:rsidP="000C3689">
            <w:pPr>
              <w:spacing w:before="60" w:after="60"/>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val="en-AU"/>
              </w:rPr>
            </w:pPr>
            <w:r w:rsidRPr="32D8A4E4">
              <w:rPr>
                <w:rFonts w:eastAsia="Times New Roman"/>
                <w:color w:val="000000"/>
                <w:lang w:val="en-AU"/>
              </w:rPr>
              <w:t>3.6%</w:t>
            </w:r>
          </w:p>
        </w:tc>
        <w:tc>
          <w:tcPr>
            <w:tcW w:w="1759" w:type="dxa"/>
            <w:tcBorders>
              <w:top w:val="none" w:sz="0" w:space="0" w:color="auto"/>
              <w:bottom w:val="none" w:sz="0" w:space="0" w:color="auto"/>
              <w:right w:val="none" w:sz="0" w:space="0" w:color="auto"/>
            </w:tcBorders>
            <w:noWrap/>
            <w:hideMark/>
          </w:tcPr>
          <w:p w14:paraId="31F6B1B2" w14:textId="3A8EDA24" w:rsidR="002B5543" w:rsidRPr="00AF588D" w:rsidRDefault="002B5543" w:rsidP="000C3689">
            <w:pPr>
              <w:spacing w:before="60" w:after="60"/>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val="en-AU"/>
              </w:rPr>
            </w:pPr>
            <w:r w:rsidRPr="32D8A4E4">
              <w:rPr>
                <w:rFonts w:eastAsia="Times New Roman"/>
                <w:color w:val="000000"/>
                <w:lang w:val="en-AU"/>
              </w:rPr>
              <w:t>2.8%</w:t>
            </w:r>
          </w:p>
        </w:tc>
      </w:tr>
      <w:tr w:rsidR="002B5543" w:rsidRPr="00FC71DF" w14:paraId="3C880070" w14:textId="77777777" w:rsidTr="00B74972">
        <w:trPr>
          <w:trHeight w:val="280"/>
        </w:trPr>
        <w:tc>
          <w:tcPr>
            <w:cnfStyle w:val="001000000000" w:firstRow="0" w:lastRow="0" w:firstColumn="1" w:lastColumn="0" w:oddVBand="0" w:evenVBand="0" w:oddHBand="0" w:evenHBand="0" w:firstRowFirstColumn="0" w:firstRowLastColumn="0" w:lastRowFirstColumn="0" w:lastRowLastColumn="0"/>
            <w:tcW w:w="4536" w:type="dxa"/>
            <w:noWrap/>
            <w:hideMark/>
          </w:tcPr>
          <w:p w14:paraId="3C2062B0" w14:textId="77777777" w:rsidR="002B5543" w:rsidRPr="00AF588D" w:rsidRDefault="002B5543" w:rsidP="000C3689">
            <w:pPr>
              <w:spacing w:before="60" w:after="60"/>
              <w:rPr>
                <w:rFonts w:eastAsia="Times New Roman"/>
                <w:color w:val="000000"/>
                <w:lang w:val="en-AU"/>
              </w:rPr>
            </w:pPr>
            <w:r w:rsidRPr="32D8A4E4">
              <w:rPr>
                <w:rFonts w:eastAsia="Times New Roman"/>
                <w:color w:val="000000"/>
                <w:lang w:val="en-AU"/>
              </w:rPr>
              <w:t>Regular team meetings</w:t>
            </w:r>
          </w:p>
          <w:p w14:paraId="4176D919" w14:textId="77777777" w:rsidR="002B5543" w:rsidRPr="00AF588D" w:rsidRDefault="002B5543" w:rsidP="000C3689">
            <w:pPr>
              <w:spacing w:before="60" w:after="60"/>
              <w:rPr>
                <w:rFonts w:eastAsia="Times New Roman"/>
                <w:b w:val="0"/>
                <w:color w:val="000000"/>
                <w:lang w:val="en-AU"/>
              </w:rPr>
            </w:pPr>
            <w:r w:rsidRPr="32D8A4E4">
              <w:rPr>
                <w:rFonts w:eastAsia="Times New Roman"/>
                <w:b w:val="0"/>
                <w:color w:val="000000"/>
                <w:lang w:val="en-AU"/>
              </w:rPr>
              <w:t>Team meetings involve</w:t>
            </w:r>
            <w:r w:rsidRPr="32D8A4E4">
              <w:rPr>
                <w:rFonts w:eastAsia="Times New Roman"/>
                <w:color w:val="000000"/>
                <w:lang w:val="en-AU"/>
              </w:rPr>
              <w:t xml:space="preserve"> all staff </w:t>
            </w:r>
          </w:p>
        </w:tc>
        <w:tc>
          <w:tcPr>
            <w:tcW w:w="1560" w:type="dxa"/>
            <w:noWrap/>
            <w:hideMark/>
          </w:tcPr>
          <w:p w14:paraId="077361C9" w14:textId="3D4DB6F9" w:rsidR="002B5543" w:rsidRPr="00AF588D" w:rsidRDefault="002B5543" w:rsidP="000C3689">
            <w:pPr>
              <w:spacing w:before="60" w:after="60"/>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val="en-AU"/>
              </w:rPr>
            </w:pPr>
            <w:r w:rsidRPr="32D8A4E4">
              <w:rPr>
                <w:rFonts w:eastAsia="Times New Roman"/>
                <w:color w:val="000000"/>
                <w:lang w:val="en-AU"/>
              </w:rPr>
              <w:t>£12,904</w:t>
            </w:r>
          </w:p>
        </w:tc>
        <w:tc>
          <w:tcPr>
            <w:tcW w:w="1784" w:type="dxa"/>
          </w:tcPr>
          <w:p w14:paraId="707B1D5B" w14:textId="3B7C0B6F" w:rsidR="002B5543" w:rsidRPr="00AF588D" w:rsidRDefault="002B5543" w:rsidP="000C3689">
            <w:pPr>
              <w:spacing w:before="60" w:after="60"/>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val="en-AU"/>
              </w:rPr>
            </w:pPr>
            <w:r w:rsidRPr="32D8A4E4">
              <w:rPr>
                <w:rFonts w:eastAsia="Times New Roman"/>
                <w:color w:val="000000"/>
                <w:lang w:val="en-AU"/>
              </w:rPr>
              <w:t>1.8%</w:t>
            </w:r>
          </w:p>
        </w:tc>
        <w:tc>
          <w:tcPr>
            <w:tcW w:w="1759" w:type="dxa"/>
            <w:noWrap/>
            <w:hideMark/>
          </w:tcPr>
          <w:p w14:paraId="3E2214E2" w14:textId="53A64111" w:rsidR="002B5543" w:rsidRPr="00AF588D" w:rsidRDefault="002B5543" w:rsidP="000C3689">
            <w:pPr>
              <w:spacing w:before="60" w:after="60"/>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val="en-AU"/>
              </w:rPr>
            </w:pPr>
            <w:r w:rsidRPr="32D8A4E4">
              <w:rPr>
                <w:rFonts w:eastAsia="Times New Roman"/>
                <w:color w:val="000000"/>
                <w:lang w:val="en-AU"/>
              </w:rPr>
              <w:t>1.4%</w:t>
            </w:r>
          </w:p>
        </w:tc>
      </w:tr>
      <w:tr w:rsidR="002B5543" w:rsidRPr="00FC71DF" w14:paraId="5AE35BEB" w14:textId="77777777" w:rsidTr="00B7497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left w:val="none" w:sz="0" w:space="0" w:color="auto"/>
              <w:bottom w:val="none" w:sz="0" w:space="0" w:color="auto"/>
            </w:tcBorders>
            <w:noWrap/>
            <w:hideMark/>
          </w:tcPr>
          <w:p w14:paraId="48859676" w14:textId="77777777" w:rsidR="002B5543" w:rsidRPr="00AF588D" w:rsidRDefault="002B5543" w:rsidP="000C3689">
            <w:pPr>
              <w:spacing w:before="60" w:after="60"/>
              <w:rPr>
                <w:rFonts w:eastAsia="Times New Roman"/>
                <w:color w:val="000000"/>
                <w:lang w:val="en-AU"/>
              </w:rPr>
            </w:pPr>
            <w:r w:rsidRPr="32D8A4E4">
              <w:rPr>
                <w:rFonts w:eastAsia="Times New Roman"/>
                <w:color w:val="000000"/>
                <w:lang w:val="en-AU"/>
              </w:rPr>
              <w:t xml:space="preserve">Issuing equipment </w:t>
            </w:r>
          </w:p>
          <w:p w14:paraId="47EA1B89" w14:textId="77777777" w:rsidR="002B5543" w:rsidRPr="00AF588D" w:rsidRDefault="002B5543" w:rsidP="000C3689">
            <w:pPr>
              <w:spacing w:before="60" w:after="60"/>
              <w:rPr>
                <w:rFonts w:eastAsia="Times New Roman"/>
                <w:color w:val="000000"/>
                <w:lang w:val="en-AU"/>
              </w:rPr>
            </w:pPr>
            <w:r w:rsidRPr="32D8A4E4">
              <w:rPr>
                <w:rFonts w:eastAsia="Times New Roman"/>
                <w:b w:val="0"/>
                <w:color w:val="000000"/>
                <w:lang w:val="en-AU"/>
              </w:rPr>
              <w:t xml:space="preserve">Delivered by a Rehabilitation Worker; supported by an Equipment Advisor </w:t>
            </w:r>
          </w:p>
        </w:tc>
        <w:tc>
          <w:tcPr>
            <w:tcW w:w="1560" w:type="dxa"/>
            <w:tcBorders>
              <w:top w:val="none" w:sz="0" w:space="0" w:color="auto"/>
              <w:bottom w:val="none" w:sz="0" w:space="0" w:color="auto"/>
            </w:tcBorders>
            <w:noWrap/>
            <w:hideMark/>
          </w:tcPr>
          <w:p w14:paraId="7B2F3B78" w14:textId="231BC474" w:rsidR="002B5543" w:rsidRPr="00AF588D" w:rsidRDefault="002B5543" w:rsidP="000C3689">
            <w:pPr>
              <w:spacing w:before="60" w:after="60"/>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val="en-AU"/>
              </w:rPr>
            </w:pPr>
            <w:r w:rsidRPr="32D8A4E4">
              <w:rPr>
                <w:rFonts w:eastAsia="Times New Roman"/>
                <w:color w:val="000000"/>
                <w:lang w:val="en-AU"/>
              </w:rPr>
              <w:t>£7,763</w:t>
            </w:r>
          </w:p>
        </w:tc>
        <w:tc>
          <w:tcPr>
            <w:tcW w:w="1784" w:type="dxa"/>
            <w:tcBorders>
              <w:top w:val="none" w:sz="0" w:space="0" w:color="auto"/>
              <w:bottom w:val="none" w:sz="0" w:space="0" w:color="auto"/>
            </w:tcBorders>
          </w:tcPr>
          <w:p w14:paraId="5E096F97" w14:textId="3DFDC707" w:rsidR="002B5543" w:rsidRPr="00AF588D" w:rsidRDefault="002B5543" w:rsidP="000C3689">
            <w:pPr>
              <w:spacing w:before="60" w:after="60"/>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val="en-AU"/>
              </w:rPr>
            </w:pPr>
            <w:r w:rsidRPr="32D8A4E4">
              <w:rPr>
                <w:rFonts w:eastAsia="Times New Roman"/>
                <w:color w:val="000000"/>
                <w:lang w:val="en-AU"/>
              </w:rPr>
              <w:t>1.1%</w:t>
            </w:r>
          </w:p>
        </w:tc>
        <w:tc>
          <w:tcPr>
            <w:tcW w:w="1759" w:type="dxa"/>
            <w:tcBorders>
              <w:top w:val="none" w:sz="0" w:space="0" w:color="auto"/>
              <w:bottom w:val="none" w:sz="0" w:space="0" w:color="auto"/>
              <w:right w:val="none" w:sz="0" w:space="0" w:color="auto"/>
            </w:tcBorders>
            <w:noWrap/>
            <w:hideMark/>
          </w:tcPr>
          <w:p w14:paraId="2B0ADD95" w14:textId="0221BB23" w:rsidR="002B5543" w:rsidRPr="00AF588D" w:rsidRDefault="002B5543" w:rsidP="000C3689">
            <w:pPr>
              <w:spacing w:before="60" w:after="60"/>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val="en-AU"/>
              </w:rPr>
            </w:pPr>
            <w:r w:rsidRPr="32D8A4E4">
              <w:rPr>
                <w:rFonts w:eastAsia="Times New Roman"/>
                <w:color w:val="000000"/>
                <w:lang w:val="en-AU"/>
              </w:rPr>
              <w:t>0.8%</w:t>
            </w:r>
          </w:p>
        </w:tc>
      </w:tr>
      <w:tr w:rsidR="002B5543" w:rsidRPr="00FC71DF" w14:paraId="49AADF5F" w14:textId="77777777" w:rsidTr="00B74972">
        <w:trPr>
          <w:trHeight w:val="280"/>
        </w:trPr>
        <w:tc>
          <w:tcPr>
            <w:cnfStyle w:val="001000000000" w:firstRow="0" w:lastRow="0" w:firstColumn="1" w:lastColumn="0" w:oddVBand="0" w:evenVBand="0" w:oddHBand="0" w:evenHBand="0" w:firstRowFirstColumn="0" w:firstRowLastColumn="0" w:lastRowFirstColumn="0" w:lastRowLastColumn="0"/>
            <w:tcW w:w="4536" w:type="dxa"/>
            <w:noWrap/>
            <w:hideMark/>
          </w:tcPr>
          <w:p w14:paraId="5F4A2873" w14:textId="77777777" w:rsidR="002B5543" w:rsidRPr="00AF588D" w:rsidRDefault="002B5543" w:rsidP="000C3689">
            <w:pPr>
              <w:spacing w:before="60" w:after="60"/>
              <w:rPr>
                <w:rFonts w:eastAsia="Times New Roman"/>
                <w:color w:val="000000"/>
                <w:lang w:val="en-AU"/>
              </w:rPr>
            </w:pPr>
            <w:r w:rsidRPr="32D8A4E4">
              <w:rPr>
                <w:rFonts w:eastAsia="Times New Roman"/>
                <w:color w:val="000000"/>
                <w:lang w:val="en-AU"/>
              </w:rPr>
              <w:t xml:space="preserve">SUB-TOTAL - Staff costs </w:t>
            </w:r>
          </w:p>
        </w:tc>
        <w:tc>
          <w:tcPr>
            <w:tcW w:w="1560" w:type="dxa"/>
            <w:noWrap/>
            <w:hideMark/>
          </w:tcPr>
          <w:p w14:paraId="3AFEBB10" w14:textId="54B0A752" w:rsidR="002B5543" w:rsidRPr="00AF588D" w:rsidRDefault="002B5543" w:rsidP="000C3689">
            <w:pPr>
              <w:spacing w:before="60" w:after="60"/>
              <w:jc w:val="right"/>
              <w:cnfStyle w:val="000000000000" w:firstRow="0" w:lastRow="0" w:firstColumn="0" w:lastColumn="0" w:oddVBand="0" w:evenVBand="0" w:oddHBand="0" w:evenHBand="0" w:firstRowFirstColumn="0" w:firstRowLastColumn="0" w:lastRowFirstColumn="0" w:lastRowLastColumn="0"/>
              <w:rPr>
                <w:rFonts w:eastAsia="Times New Roman"/>
                <w:b/>
                <w:color w:val="000000"/>
                <w:lang w:val="en-AU"/>
              </w:rPr>
            </w:pPr>
            <w:r w:rsidRPr="32D8A4E4">
              <w:rPr>
                <w:rFonts w:eastAsia="Times New Roman"/>
                <w:b/>
                <w:color w:val="000000"/>
                <w:lang w:val="en-AU"/>
              </w:rPr>
              <w:t>£717,046</w:t>
            </w:r>
          </w:p>
        </w:tc>
        <w:tc>
          <w:tcPr>
            <w:tcW w:w="1784" w:type="dxa"/>
          </w:tcPr>
          <w:p w14:paraId="595B353E" w14:textId="77777777" w:rsidR="002B5543" w:rsidRPr="00AF588D" w:rsidRDefault="002B5543" w:rsidP="000C3689">
            <w:pPr>
              <w:spacing w:before="60" w:after="60"/>
              <w:jc w:val="right"/>
              <w:cnfStyle w:val="000000000000" w:firstRow="0" w:lastRow="0" w:firstColumn="0" w:lastColumn="0" w:oddVBand="0" w:evenVBand="0" w:oddHBand="0" w:evenHBand="0" w:firstRowFirstColumn="0" w:firstRowLastColumn="0" w:lastRowFirstColumn="0" w:lastRowLastColumn="0"/>
              <w:rPr>
                <w:rFonts w:eastAsia="Times New Roman"/>
                <w:b/>
                <w:color w:val="000000"/>
                <w:lang w:val="en-AU"/>
              </w:rPr>
            </w:pPr>
            <w:r w:rsidRPr="32D8A4E4">
              <w:rPr>
                <w:rFonts w:eastAsia="Times New Roman"/>
                <w:b/>
                <w:color w:val="000000"/>
                <w:lang w:val="en-AU"/>
              </w:rPr>
              <w:t>100%</w:t>
            </w:r>
          </w:p>
        </w:tc>
        <w:tc>
          <w:tcPr>
            <w:tcW w:w="1759" w:type="dxa"/>
            <w:noWrap/>
            <w:hideMark/>
          </w:tcPr>
          <w:p w14:paraId="1B1682F6" w14:textId="180FCB2F" w:rsidR="002B5543" w:rsidRPr="00AF588D" w:rsidRDefault="002B5543" w:rsidP="000C3689">
            <w:pPr>
              <w:spacing w:before="60" w:after="60"/>
              <w:jc w:val="right"/>
              <w:cnfStyle w:val="000000000000" w:firstRow="0" w:lastRow="0" w:firstColumn="0" w:lastColumn="0" w:oddVBand="0" w:evenVBand="0" w:oddHBand="0" w:evenHBand="0" w:firstRowFirstColumn="0" w:firstRowLastColumn="0" w:lastRowFirstColumn="0" w:lastRowLastColumn="0"/>
              <w:rPr>
                <w:rFonts w:eastAsia="Times New Roman"/>
                <w:b/>
                <w:color w:val="000000"/>
                <w:lang w:val="en-AU"/>
              </w:rPr>
            </w:pPr>
            <w:r w:rsidRPr="32D8A4E4">
              <w:rPr>
                <w:rFonts w:eastAsia="Times New Roman"/>
                <w:b/>
                <w:color w:val="000000"/>
                <w:lang w:val="en-AU"/>
              </w:rPr>
              <w:t>78.1%</w:t>
            </w:r>
          </w:p>
        </w:tc>
      </w:tr>
    </w:tbl>
    <w:p w14:paraId="22D5D9CF" w14:textId="394B4A20" w:rsidR="002B5543" w:rsidRDefault="002B5543" w:rsidP="00911AE8">
      <w:pPr>
        <w:rPr>
          <w:lang w:val="en-US"/>
        </w:rPr>
      </w:pPr>
    </w:p>
    <w:p w14:paraId="0D3B1316" w14:textId="4CB46F01" w:rsidR="002B5543" w:rsidRPr="00AF588D" w:rsidRDefault="002B5543" w:rsidP="008451F0">
      <w:pPr>
        <w:pStyle w:val="Caption"/>
        <w:keepNext/>
        <w:rPr>
          <w:color w:val="auto"/>
          <w:sz w:val="28"/>
          <w:szCs w:val="28"/>
        </w:rPr>
      </w:pPr>
      <w:r w:rsidRPr="00AF588D">
        <w:rPr>
          <w:color w:val="auto"/>
          <w:sz w:val="28"/>
          <w:szCs w:val="28"/>
        </w:rPr>
        <w:t xml:space="preserve">Table </w:t>
      </w:r>
      <w:r w:rsidRPr="32D8A4E4">
        <w:fldChar w:fldCharType="begin"/>
      </w:r>
      <w:r w:rsidRPr="00AF588D">
        <w:rPr>
          <w:color w:val="auto"/>
          <w:sz w:val="28"/>
          <w:szCs w:val="28"/>
        </w:rPr>
        <w:instrText xml:space="preserve"> SEQ Table \* ARABIC </w:instrText>
      </w:r>
      <w:r w:rsidRPr="32D8A4E4">
        <w:rPr>
          <w:color w:val="auto"/>
          <w:sz w:val="28"/>
          <w:szCs w:val="28"/>
        </w:rPr>
        <w:fldChar w:fldCharType="separate"/>
      </w:r>
      <w:r w:rsidRPr="00AF588D">
        <w:rPr>
          <w:color w:val="auto"/>
          <w:sz w:val="28"/>
          <w:szCs w:val="28"/>
        </w:rPr>
        <w:t>2</w:t>
      </w:r>
      <w:r w:rsidRPr="32D8A4E4">
        <w:fldChar w:fldCharType="end"/>
      </w:r>
      <w:r w:rsidRPr="00AF588D">
        <w:rPr>
          <w:color w:val="auto"/>
          <w:sz w:val="28"/>
          <w:szCs w:val="28"/>
        </w:rPr>
        <w:t>: Sight for Surrey non-staff expenses, based on actual spending information shared by Sight for Surrey and a calculation of overheads for a service of its size.</w:t>
      </w:r>
    </w:p>
    <w:tbl>
      <w:tblPr>
        <w:tblStyle w:val="OPMLightListorBox"/>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 Sight for Surrey non-staff expenses, based on actual spending information shared by Sight for Surrey and a calculation of overheads for a service of its size."/>
        <w:tblDescription w:val="As with Table 1, this table shows the non-staff expenses of the Sight for Surrey vision rehabilitation service. This includes three main items: equipment costs, travel expenses and overheads (including rent, and HR and IT services). The total is £196,988. Each line item is also shown as a percentage of the total non-staff expenses cost and the overall cost of the service. "/>
      </w:tblPr>
      <w:tblGrid>
        <w:gridCol w:w="4706"/>
        <w:gridCol w:w="1587"/>
        <w:gridCol w:w="1587"/>
        <w:gridCol w:w="1587"/>
      </w:tblGrid>
      <w:tr w:rsidR="002B5543" w:rsidRPr="005C6022" w14:paraId="49F603FD" w14:textId="77777777" w:rsidTr="00B74972">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706" w:type="dxa"/>
            <w:shd w:val="clear" w:color="auto" w:fill="4D959A"/>
            <w:noWrap/>
          </w:tcPr>
          <w:p w14:paraId="3D13EA8A" w14:textId="77777777" w:rsidR="002B5543" w:rsidRPr="00AF588D" w:rsidRDefault="002B5543" w:rsidP="00FB666B">
            <w:pPr>
              <w:spacing w:before="0" w:after="0"/>
              <w:rPr>
                <w:rFonts w:eastAsia="Times New Roman"/>
                <w:color w:val="000000"/>
                <w:lang w:val="en-AU"/>
              </w:rPr>
            </w:pPr>
            <w:r w:rsidRPr="32D8A4E4">
              <w:rPr>
                <w:rFonts w:eastAsia="Times New Roman"/>
                <w:color w:val="000000"/>
                <w:lang w:val="en-AU"/>
              </w:rPr>
              <w:t>Non-staff expenses</w:t>
            </w:r>
          </w:p>
        </w:tc>
        <w:tc>
          <w:tcPr>
            <w:tcW w:w="1587" w:type="dxa"/>
            <w:shd w:val="clear" w:color="auto" w:fill="4D959A"/>
            <w:noWrap/>
          </w:tcPr>
          <w:p w14:paraId="401977B1" w14:textId="3485011D" w:rsidR="002B5543" w:rsidRPr="00AF588D" w:rsidRDefault="002B5543" w:rsidP="00FB666B">
            <w:pPr>
              <w:spacing w:before="0" w:after="0"/>
              <w:cnfStyle w:val="100000000000" w:firstRow="1" w:lastRow="0" w:firstColumn="0" w:lastColumn="0" w:oddVBand="0" w:evenVBand="0" w:oddHBand="0" w:evenHBand="0" w:firstRowFirstColumn="0" w:firstRowLastColumn="0" w:lastRowFirstColumn="0" w:lastRowLastColumn="0"/>
              <w:rPr>
                <w:rFonts w:eastAsia="Times New Roman"/>
                <w:b w:val="0"/>
                <w:color w:val="000000"/>
                <w:lang w:val="en-AU"/>
              </w:rPr>
            </w:pPr>
            <w:r w:rsidRPr="32D8A4E4">
              <w:rPr>
                <w:rFonts w:eastAsia="Times New Roman"/>
                <w:color w:val="000000"/>
                <w:lang w:val="en-AU"/>
              </w:rPr>
              <w:t>Cost</w:t>
            </w:r>
            <w:r>
              <w:br/>
            </w:r>
            <w:r w:rsidRPr="32D8A4E4">
              <w:rPr>
                <w:rFonts w:eastAsia="Times New Roman"/>
                <w:color w:val="000000"/>
                <w:lang w:val="en-AU"/>
              </w:rPr>
              <w:t>(to nearest £)</w:t>
            </w:r>
          </w:p>
        </w:tc>
        <w:tc>
          <w:tcPr>
            <w:tcW w:w="1587" w:type="dxa"/>
            <w:shd w:val="clear" w:color="auto" w:fill="4D959A"/>
          </w:tcPr>
          <w:p w14:paraId="2C1186B0" w14:textId="77777777" w:rsidR="002B5543" w:rsidRPr="00AF588D" w:rsidRDefault="002B5543" w:rsidP="00FB666B">
            <w:pPr>
              <w:spacing w:before="0" w:after="0"/>
              <w:cnfStyle w:val="100000000000" w:firstRow="1" w:lastRow="0" w:firstColumn="0" w:lastColumn="0" w:oddVBand="0" w:evenVBand="0" w:oddHBand="0" w:evenHBand="0" w:firstRowFirstColumn="0" w:firstRowLastColumn="0" w:lastRowFirstColumn="0" w:lastRowLastColumn="0"/>
              <w:rPr>
                <w:rFonts w:eastAsia="Times New Roman"/>
                <w:b w:val="0"/>
                <w:color w:val="000000"/>
                <w:lang w:val="en-AU"/>
              </w:rPr>
            </w:pPr>
            <w:r w:rsidRPr="32D8A4E4">
              <w:rPr>
                <w:rFonts w:eastAsia="Times New Roman"/>
                <w:color w:val="000000"/>
                <w:lang w:val="en-AU"/>
              </w:rPr>
              <w:t>Percentage of non-staff costs</w:t>
            </w:r>
          </w:p>
        </w:tc>
        <w:tc>
          <w:tcPr>
            <w:tcW w:w="1587" w:type="dxa"/>
            <w:shd w:val="clear" w:color="auto" w:fill="4D959A"/>
            <w:noWrap/>
          </w:tcPr>
          <w:p w14:paraId="3768C90F" w14:textId="77777777" w:rsidR="002B5543" w:rsidRPr="00AF588D" w:rsidRDefault="002B5543" w:rsidP="00FB666B">
            <w:pPr>
              <w:spacing w:before="0" w:after="0"/>
              <w:cnfStyle w:val="100000000000" w:firstRow="1" w:lastRow="0" w:firstColumn="0" w:lastColumn="0" w:oddVBand="0" w:evenVBand="0" w:oddHBand="0" w:evenHBand="0" w:firstRowFirstColumn="0" w:firstRowLastColumn="0" w:lastRowFirstColumn="0" w:lastRowLastColumn="0"/>
              <w:rPr>
                <w:rFonts w:eastAsia="Times New Roman"/>
                <w:b w:val="0"/>
                <w:color w:val="000000"/>
                <w:lang w:val="en-AU"/>
              </w:rPr>
            </w:pPr>
            <w:r w:rsidRPr="32D8A4E4">
              <w:rPr>
                <w:rFonts w:eastAsia="Times New Roman"/>
                <w:color w:val="000000"/>
                <w:lang w:val="en-AU"/>
              </w:rPr>
              <w:t xml:space="preserve">Percentage of total cost </w:t>
            </w:r>
          </w:p>
        </w:tc>
      </w:tr>
      <w:tr w:rsidR="002B5543" w:rsidRPr="00FC71DF" w14:paraId="4558916D" w14:textId="77777777" w:rsidTr="00B7497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706" w:type="dxa"/>
            <w:tcBorders>
              <w:top w:val="none" w:sz="0" w:space="0" w:color="auto"/>
              <w:left w:val="none" w:sz="0" w:space="0" w:color="auto"/>
              <w:bottom w:val="none" w:sz="0" w:space="0" w:color="auto"/>
            </w:tcBorders>
            <w:noWrap/>
            <w:hideMark/>
          </w:tcPr>
          <w:p w14:paraId="7E03DBF2" w14:textId="77777777" w:rsidR="002B5543" w:rsidRPr="00AF588D" w:rsidRDefault="002B5543" w:rsidP="00FB666B">
            <w:pPr>
              <w:spacing w:before="60" w:after="60"/>
              <w:rPr>
                <w:rFonts w:eastAsia="Times New Roman"/>
                <w:color w:val="000000"/>
                <w:lang w:val="en-AU"/>
              </w:rPr>
            </w:pPr>
            <w:r w:rsidRPr="32D8A4E4">
              <w:rPr>
                <w:rFonts w:eastAsia="Times New Roman"/>
                <w:color w:val="000000"/>
                <w:lang w:val="en-AU"/>
              </w:rPr>
              <w:t xml:space="preserve">Cost of equipment </w:t>
            </w:r>
          </w:p>
          <w:p w14:paraId="7519C75A" w14:textId="3B844056" w:rsidR="002B5543" w:rsidRPr="00AF588D" w:rsidRDefault="002B5543" w:rsidP="00FB666B">
            <w:pPr>
              <w:spacing w:before="60" w:after="60"/>
              <w:rPr>
                <w:rFonts w:eastAsia="Times New Roman"/>
                <w:b w:val="0"/>
                <w:color w:val="000000"/>
                <w:lang w:val="en-AU"/>
              </w:rPr>
            </w:pPr>
            <w:r w:rsidRPr="32D8A4E4">
              <w:rPr>
                <w:rFonts w:eastAsia="Times New Roman"/>
                <w:b w:val="0"/>
                <w:color w:val="000000"/>
                <w:lang w:val="en-AU"/>
              </w:rPr>
              <w:t>(Average annual cost borne by Sight for Surrey</w:t>
            </w:r>
            <w:r w:rsidRPr="32D8A4E4">
              <w:rPr>
                <w:rFonts w:eastAsia="Times New Roman"/>
                <w:b w:val="0"/>
                <w:color w:val="000000"/>
                <w:sz w:val="20"/>
                <w:szCs w:val="20"/>
                <w:lang w:val="en-AU"/>
              </w:rPr>
              <w:t xml:space="preserve"> [</w:t>
            </w:r>
            <w:r w:rsidRPr="32D8A4E4">
              <w:endnoteReference w:id="33"/>
            </w:r>
            <w:r w:rsidRPr="32D8A4E4">
              <w:rPr>
                <w:rFonts w:eastAsia="Times New Roman"/>
                <w:b w:val="0"/>
                <w:color w:val="000000"/>
                <w:sz w:val="20"/>
                <w:szCs w:val="20"/>
                <w:lang w:val="en-AU"/>
              </w:rPr>
              <w:t xml:space="preserve">]) </w:t>
            </w:r>
          </w:p>
        </w:tc>
        <w:tc>
          <w:tcPr>
            <w:tcW w:w="1587" w:type="dxa"/>
            <w:tcBorders>
              <w:top w:val="none" w:sz="0" w:space="0" w:color="auto"/>
              <w:bottom w:val="none" w:sz="0" w:space="0" w:color="auto"/>
            </w:tcBorders>
            <w:noWrap/>
            <w:hideMark/>
          </w:tcPr>
          <w:p w14:paraId="7901AC05" w14:textId="77777777" w:rsidR="002B5543" w:rsidRPr="00AF588D" w:rsidRDefault="002B5543" w:rsidP="00FB666B">
            <w:pPr>
              <w:spacing w:before="60" w:after="60"/>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val="en-AU"/>
              </w:rPr>
            </w:pPr>
            <w:r w:rsidRPr="32D8A4E4">
              <w:rPr>
                <w:rFonts w:eastAsia="Times New Roman"/>
                <w:color w:val="000000"/>
                <w:lang w:val="en-AU"/>
              </w:rPr>
              <w:t>£24,000</w:t>
            </w:r>
          </w:p>
        </w:tc>
        <w:tc>
          <w:tcPr>
            <w:tcW w:w="1587" w:type="dxa"/>
            <w:tcBorders>
              <w:top w:val="none" w:sz="0" w:space="0" w:color="auto"/>
              <w:bottom w:val="none" w:sz="0" w:space="0" w:color="auto"/>
            </w:tcBorders>
          </w:tcPr>
          <w:p w14:paraId="50314469" w14:textId="5B699DA1" w:rsidR="002B5543" w:rsidRPr="00AF588D" w:rsidRDefault="002B5543" w:rsidP="00FB666B">
            <w:pPr>
              <w:spacing w:before="60" w:after="60"/>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val="en-AU"/>
              </w:rPr>
            </w:pPr>
            <w:r w:rsidRPr="32D8A4E4">
              <w:rPr>
                <w:rFonts w:eastAsia="Times New Roman"/>
                <w:color w:val="000000"/>
                <w:lang w:val="en-AU"/>
              </w:rPr>
              <w:t>11.9%</w:t>
            </w:r>
          </w:p>
        </w:tc>
        <w:tc>
          <w:tcPr>
            <w:tcW w:w="1587" w:type="dxa"/>
            <w:tcBorders>
              <w:top w:val="none" w:sz="0" w:space="0" w:color="auto"/>
              <w:bottom w:val="none" w:sz="0" w:space="0" w:color="auto"/>
              <w:right w:val="none" w:sz="0" w:space="0" w:color="auto"/>
            </w:tcBorders>
            <w:noWrap/>
            <w:hideMark/>
          </w:tcPr>
          <w:p w14:paraId="0D1A4F15" w14:textId="565700BD" w:rsidR="002B5543" w:rsidRPr="00AF588D" w:rsidRDefault="002B5543" w:rsidP="00FB666B">
            <w:pPr>
              <w:spacing w:before="60" w:after="60"/>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val="en-AU"/>
              </w:rPr>
            </w:pPr>
            <w:r w:rsidRPr="32D8A4E4">
              <w:rPr>
                <w:rFonts w:eastAsia="Times New Roman"/>
                <w:color w:val="000000"/>
                <w:lang w:val="en-AU"/>
              </w:rPr>
              <w:t>2.6%</w:t>
            </w:r>
          </w:p>
        </w:tc>
      </w:tr>
      <w:tr w:rsidR="002B5543" w:rsidRPr="00FC71DF" w14:paraId="40F00C5C" w14:textId="77777777" w:rsidTr="00B74972">
        <w:trPr>
          <w:trHeight w:val="280"/>
        </w:trPr>
        <w:tc>
          <w:tcPr>
            <w:cnfStyle w:val="001000000000" w:firstRow="0" w:lastRow="0" w:firstColumn="1" w:lastColumn="0" w:oddVBand="0" w:evenVBand="0" w:oddHBand="0" w:evenHBand="0" w:firstRowFirstColumn="0" w:firstRowLastColumn="0" w:lastRowFirstColumn="0" w:lastRowLastColumn="0"/>
            <w:tcW w:w="4706" w:type="dxa"/>
            <w:noWrap/>
            <w:hideMark/>
          </w:tcPr>
          <w:p w14:paraId="71CFD04C" w14:textId="77777777" w:rsidR="002B5543" w:rsidRPr="00AF588D" w:rsidRDefault="002B5543" w:rsidP="00FB666B">
            <w:pPr>
              <w:spacing w:before="0" w:after="0"/>
              <w:rPr>
                <w:rFonts w:eastAsia="Times New Roman"/>
                <w:color w:val="000000"/>
                <w:lang w:val="en-AU"/>
              </w:rPr>
            </w:pPr>
            <w:r w:rsidRPr="32D8A4E4">
              <w:rPr>
                <w:rFonts w:eastAsia="Times New Roman"/>
                <w:color w:val="000000"/>
                <w:lang w:val="en-AU"/>
              </w:rPr>
              <w:t xml:space="preserve">Travel expenses </w:t>
            </w:r>
          </w:p>
        </w:tc>
        <w:tc>
          <w:tcPr>
            <w:tcW w:w="1587" w:type="dxa"/>
            <w:noWrap/>
            <w:hideMark/>
          </w:tcPr>
          <w:p w14:paraId="4C76DB4F" w14:textId="62C43749" w:rsidR="002B5543" w:rsidRPr="00AF588D" w:rsidRDefault="002B5543" w:rsidP="00FB666B">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val="en-AU"/>
              </w:rPr>
            </w:pPr>
            <w:r w:rsidRPr="32D8A4E4">
              <w:rPr>
                <w:rFonts w:eastAsia="Times New Roman"/>
                <w:color w:val="000000"/>
                <w:lang w:val="en-AU"/>
              </w:rPr>
              <w:t>£17,000</w:t>
            </w:r>
          </w:p>
        </w:tc>
        <w:tc>
          <w:tcPr>
            <w:tcW w:w="1587" w:type="dxa"/>
          </w:tcPr>
          <w:p w14:paraId="06C84E87" w14:textId="71D18DA0" w:rsidR="002B5543" w:rsidRPr="00AF588D" w:rsidRDefault="002B5543" w:rsidP="00FB666B">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val="en-AU"/>
              </w:rPr>
            </w:pPr>
            <w:r w:rsidRPr="32D8A4E4">
              <w:rPr>
                <w:rFonts w:eastAsia="Times New Roman"/>
                <w:color w:val="000000"/>
                <w:lang w:val="en-AU"/>
              </w:rPr>
              <w:t>8.5%</w:t>
            </w:r>
          </w:p>
        </w:tc>
        <w:tc>
          <w:tcPr>
            <w:tcW w:w="1587" w:type="dxa"/>
            <w:noWrap/>
            <w:hideMark/>
          </w:tcPr>
          <w:p w14:paraId="4D7948F0" w14:textId="0F33374D" w:rsidR="002B5543" w:rsidRPr="00AF588D" w:rsidRDefault="002B5543" w:rsidP="00FB666B">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val="en-AU"/>
              </w:rPr>
            </w:pPr>
            <w:r w:rsidRPr="32D8A4E4">
              <w:rPr>
                <w:rFonts w:eastAsia="Times New Roman"/>
                <w:color w:val="000000"/>
                <w:lang w:val="en-AU"/>
              </w:rPr>
              <w:t>1.9%</w:t>
            </w:r>
          </w:p>
        </w:tc>
      </w:tr>
      <w:tr w:rsidR="002B5543" w:rsidRPr="00FC71DF" w14:paraId="7D2791A5" w14:textId="77777777" w:rsidTr="00B7497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706" w:type="dxa"/>
            <w:tcBorders>
              <w:top w:val="none" w:sz="0" w:space="0" w:color="auto"/>
              <w:left w:val="none" w:sz="0" w:space="0" w:color="auto"/>
              <w:bottom w:val="none" w:sz="0" w:space="0" w:color="auto"/>
            </w:tcBorders>
            <w:noWrap/>
            <w:hideMark/>
          </w:tcPr>
          <w:p w14:paraId="5416F1D9" w14:textId="77777777" w:rsidR="002B5543" w:rsidRPr="00AF588D" w:rsidRDefault="002B5543" w:rsidP="00FB666B">
            <w:pPr>
              <w:spacing w:before="0" w:after="0"/>
              <w:rPr>
                <w:rFonts w:eastAsia="Times New Roman"/>
                <w:color w:val="000000"/>
                <w:lang w:val="en-AU"/>
              </w:rPr>
            </w:pPr>
            <w:r w:rsidRPr="32D8A4E4">
              <w:rPr>
                <w:rFonts w:eastAsia="Times New Roman"/>
                <w:color w:val="000000"/>
                <w:lang w:val="en-AU"/>
              </w:rPr>
              <w:t xml:space="preserve">Overheads </w:t>
            </w:r>
          </w:p>
          <w:p w14:paraId="0F48F62A" w14:textId="77777777" w:rsidR="002B5543" w:rsidRPr="00AF588D" w:rsidRDefault="002B5543" w:rsidP="00FB666B">
            <w:pPr>
              <w:spacing w:before="0" w:after="0"/>
              <w:rPr>
                <w:rFonts w:eastAsia="Times New Roman"/>
                <w:b w:val="0"/>
                <w:color w:val="000000"/>
                <w:lang w:val="en-AU"/>
              </w:rPr>
            </w:pPr>
            <w:r w:rsidRPr="32D8A4E4">
              <w:rPr>
                <w:rFonts w:eastAsia="Times New Roman"/>
                <w:b w:val="0"/>
                <w:color w:val="000000"/>
                <w:lang w:val="en-AU"/>
              </w:rPr>
              <w:t xml:space="preserve">(Including rent, HR, IT hardware and support, etc.) </w:t>
            </w:r>
          </w:p>
        </w:tc>
        <w:tc>
          <w:tcPr>
            <w:tcW w:w="1587" w:type="dxa"/>
            <w:tcBorders>
              <w:top w:val="none" w:sz="0" w:space="0" w:color="auto"/>
              <w:bottom w:val="none" w:sz="0" w:space="0" w:color="auto"/>
            </w:tcBorders>
            <w:noWrap/>
            <w:hideMark/>
          </w:tcPr>
          <w:p w14:paraId="7D18650C" w14:textId="77777777" w:rsidR="002B5543" w:rsidRPr="00AF588D" w:rsidRDefault="002B5543" w:rsidP="00FB666B">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val="en-AU"/>
              </w:rPr>
            </w:pPr>
            <w:r w:rsidRPr="32D8A4E4">
              <w:rPr>
                <w:rFonts w:eastAsia="Times New Roman"/>
                <w:color w:val="000000"/>
                <w:lang w:val="en-AU"/>
              </w:rPr>
              <w:t>£159,988</w:t>
            </w:r>
          </w:p>
        </w:tc>
        <w:tc>
          <w:tcPr>
            <w:tcW w:w="1587" w:type="dxa"/>
            <w:tcBorders>
              <w:top w:val="none" w:sz="0" w:space="0" w:color="auto"/>
              <w:bottom w:val="none" w:sz="0" w:space="0" w:color="auto"/>
            </w:tcBorders>
          </w:tcPr>
          <w:p w14:paraId="2BE97B9D" w14:textId="562CCA08" w:rsidR="002B5543" w:rsidRPr="00AF588D" w:rsidRDefault="002B5543" w:rsidP="00FB666B">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val="en-AU"/>
              </w:rPr>
            </w:pPr>
            <w:r w:rsidRPr="32D8A4E4">
              <w:rPr>
                <w:rFonts w:eastAsia="Times New Roman"/>
                <w:color w:val="000000"/>
                <w:lang w:val="en-AU"/>
              </w:rPr>
              <w:t>79.6%</w:t>
            </w:r>
          </w:p>
        </w:tc>
        <w:tc>
          <w:tcPr>
            <w:tcW w:w="1587" w:type="dxa"/>
            <w:tcBorders>
              <w:top w:val="none" w:sz="0" w:space="0" w:color="auto"/>
              <w:bottom w:val="none" w:sz="0" w:space="0" w:color="auto"/>
              <w:right w:val="none" w:sz="0" w:space="0" w:color="auto"/>
            </w:tcBorders>
            <w:noWrap/>
            <w:hideMark/>
          </w:tcPr>
          <w:p w14:paraId="3738126C" w14:textId="3DB803D0" w:rsidR="002B5543" w:rsidRPr="00AF588D" w:rsidRDefault="002B5543" w:rsidP="00FB666B">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val="en-AU"/>
              </w:rPr>
            </w:pPr>
            <w:r w:rsidRPr="32D8A4E4">
              <w:rPr>
                <w:rFonts w:eastAsia="Times New Roman"/>
                <w:color w:val="000000"/>
                <w:lang w:val="en-AU"/>
              </w:rPr>
              <w:t>17.4%</w:t>
            </w:r>
          </w:p>
        </w:tc>
      </w:tr>
      <w:tr w:rsidR="002B5543" w:rsidRPr="00FC71DF" w14:paraId="26E6D478" w14:textId="77777777" w:rsidTr="00B74972">
        <w:trPr>
          <w:trHeight w:val="280"/>
        </w:trPr>
        <w:tc>
          <w:tcPr>
            <w:cnfStyle w:val="001000000000" w:firstRow="0" w:lastRow="0" w:firstColumn="1" w:lastColumn="0" w:oddVBand="0" w:evenVBand="0" w:oddHBand="0" w:evenHBand="0" w:firstRowFirstColumn="0" w:firstRowLastColumn="0" w:lastRowFirstColumn="0" w:lastRowLastColumn="0"/>
            <w:tcW w:w="4706" w:type="dxa"/>
            <w:noWrap/>
            <w:hideMark/>
          </w:tcPr>
          <w:p w14:paraId="720B7407" w14:textId="77777777" w:rsidR="002B5543" w:rsidRPr="00AF588D" w:rsidRDefault="002B5543" w:rsidP="00FB666B">
            <w:pPr>
              <w:spacing w:before="0" w:after="0"/>
              <w:rPr>
                <w:rFonts w:eastAsia="Times New Roman"/>
                <w:color w:val="000000"/>
                <w:lang w:val="en-AU"/>
              </w:rPr>
            </w:pPr>
            <w:r w:rsidRPr="32D8A4E4">
              <w:rPr>
                <w:rFonts w:eastAsia="Times New Roman"/>
                <w:color w:val="000000"/>
                <w:lang w:val="en-AU"/>
              </w:rPr>
              <w:t xml:space="preserve">SUB-TOTAL - Non-staff costs </w:t>
            </w:r>
          </w:p>
        </w:tc>
        <w:tc>
          <w:tcPr>
            <w:tcW w:w="1587" w:type="dxa"/>
            <w:noWrap/>
            <w:hideMark/>
          </w:tcPr>
          <w:p w14:paraId="3C6F31F2" w14:textId="577713B5" w:rsidR="002B5543" w:rsidRPr="00AF588D" w:rsidRDefault="002B5543" w:rsidP="00FB666B">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b/>
                <w:color w:val="000000"/>
                <w:lang w:val="en-AU"/>
              </w:rPr>
            </w:pPr>
            <w:r w:rsidRPr="32D8A4E4">
              <w:rPr>
                <w:rFonts w:eastAsia="Times New Roman"/>
                <w:b/>
                <w:color w:val="000000"/>
                <w:lang w:val="en-AU"/>
              </w:rPr>
              <w:t>£200,988</w:t>
            </w:r>
          </w:p>
        </w:tc>
        <w:tc>
          <w:tcPr>
            <w:tcW w:w="1587" w:type="dxa"/>
          </w:tcPr>
          <w:p w14:paraId="10DBDF11" w14:textId="51B4658B" w:rsidR="002B5543" w:rsidRPr="00AF588D" w:rsidRDefault="002B5543" w:rsidP="00FB666B">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b/>
                <w:color w:val="000000"/>
                <w:lang w:val="en-AU"/>
              </w:rPr>
            </w:pPr>
            <w:r w:rsidRPr="32D8A4E4">
              <w:rPr>
                <w:rFonts w:eastAsia="Times New Roman"/>
                <w:b/>
                <w:color w:val="000000"/>
                <w:lang w:val="en-AU"/>
              </w:rPr>
              <w:t>100%</w:t>
            </w:r>
          </w:p>
        </w:tc>
        <w:tc>
          <w:tcPr>
            <w:tcW w:w="1587" w:type="dxa"/>
            <w:noWrap/>
            <w:hideMark/>
          </w:tcPr>
          <w:p w14:paraId="5E0953F5" w14:textId="2E42E96E" w:rsidR="002B5543" w:rsidRPr="00AF588D" w:rsidRDefault="002B5543" w:rsidP="00FB666B">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b/>
                <w:color w:val="000000"/>
                <w:lang w:val="en-AU"/>
              </w:rPr>
            </w:pPr>
            <w:r w:rsidRPr="32D8A4E4">
              <w:rPr>
                <w:rFonts w:eastAsia="Times New Roman"/>
                <w:b/>
                <w:color w:val="000000"/>
                <w:lang w:val="en-AU"/>
              </w:rPr>
              <w:t>21.9%</w:t>
            </w:r>
          </w:p>
        </w:tc>
      </w:tr>
    </w:tbl>
    <w:p w14:paraId="2864FEF4" w14:textId="77777777" w:rsidR="002B5543" w:rsidRDefault="002B5543" w:rsidP="00456523">
      <w:pPr>
        <w:tabs>
          <w:tab w:val="left" w:pos="7655"/>
        </w:tabs>
        <w:rPr>
          <w:lang w:val="en-US"/>
        </w:rPr>
      </w:pPr>
    </w:p>
    <w:p w14:paraId="130D197F" w14:textId="4480D03D" w:rsidR="002B5543" w:rsidRDefault="002B5543" w:rsidP="00456523">
      <w:pPr>
        <w:tabs>
          <w:tab w:val="left" w:pos="7655"/>
        </w:tabs>
        <w:rPr>
          <w:lang w:val="en-US"/>
        </w:rPr>
      </w:pPr>
      <w:r>
        <w:rPr>
          <w:lang w:val="en-US"/>
        </w:rPr>
        <w:t xml:space="preserve">Tables 1 and 2 above show that Sight for Surrey’s staff related costs account for 78.1% of their expenses; non-staff costs make up 21.9%. The Sight for Surrey vision rehabilitation service </w:t>
      </w:r>
      <w:r w:rsidRPr="00425EE5">
        <w:rPr>
          <w:lang w:val="en-US"/>
        </w:rPr>
        <w:t xml:space="preserve">costs </w:t>
      </w:r>
      <w:r>
        <w:rPr>
          <w:lang w:val="en-US"/>
        </w:rPr>
        <w:t>for staff and non-staff categories are further broken down in Figures 3 and 4 below [</w:t>
      </w:r>
      <w:r>
        <w:rPr>
          <w:rStyle w:val="EndnoteReference"/>
          <w:lang w:val="en-US"/>
        </w:rPr>
        <w:endnoteReference w:id="34"/>
      </w:r>
      <w:r>
        <w:rPr>
          <w:lang w:val="en-US"/>
        </w:rPr>
        <w:t xml:space="preserve">].  </w:t>
      </w:r>
    </w:p>
    <w:p w14:paraId="51087C7A" w14:textId="4A0D9B35" w:rsidR="002B5543" w:rsidRDefault="002B5543" w:rsidP="00911AE8">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14:paraId="0577452D" w14:textId="77777777" w:rsidR="002B5543" w:rsidRPr="002655EE" w:rsidRDefault="002B5543" w:rsidP="002655EE">
      <w:pPr>
        <w:rPr>
          <w:b/>
        </w:rPr>
      </w:pPr>
      <w:r w:rsidRPr="32D8A4E4">
        <w:rPr>
          <w:b/>
        </w:rPr>
        <w:t xml:space="preserve">Figure </w:t>
      </w:r>
      <w:r w:rsidRPr="32D8A4E4">
        <w:fldChar w:fldCharType="begin"/>
      </w:r>
      <w:r w:rsidRPr="002655EE">
        <w:rPr>
          <w:b/>
          <w:szCs w:val="28"/>
        </w:rPr>
        <w:instrText xml:space="preserve"> SEQ Figure \* ARABIC </w:instrText>
      </w:r>
      <w:r w:rsidRPr="32D8A4E4">
        <w:rPr>
          <w:b/>
          <w:szCs w:val="28"/>
        </w:rPr>
        <w:fldChar w:fldCharType="separate"/>
      </w:r>
      <w:r w:rsidRPr="32D8A4E4">
        <w:rPr>
          <w:b/>
        </w:rPr>
        <w:t>3</w:t>
      </w:r>
      <w:r w:rsidRPr="32D8A4E4">
        <w:fldChar w:fldCharType="end"/>
      </w:r>
      <w:r w:rsidRPr="32D8A4E4">
        <w:rPr>
          <w:b/>
        </w:rPr>
        <w:t xml:space="preserve">: Staff costs by component </w:t>
      </w:r>
    </w:p>
    <w:p w14:paraId="30EF7A40" w14:textId="1A25C36F" w:rsidR="002B5543" w:rsidRDefault="002B5543" w:rsidP="002655EE">
      <w:r>
        <w:t>Below is a pie chart shows the following breakdown of staff costs by component: In-depth rehabilitation 63%; Specialist assessment 24%; Pre-assessment 1%; Initial telephone assessment 2%; Referrals handling (all referrals) 1%; Issuing equipment 1%; Management tasks (all, including team meetings) 7%; Follow up call 1%.</w:t>
      </w:r>
    </w:p>
    <w:p w14:paraId="486EA008" w14:textId="37CA43B5" w:rsidR="002B5543" w:rsidRPr="002E6ABD" w:rsidRDefault="002B5543" w:rsidP="00456523">
      <w:pPr>
        <w:pStyle w:val="Caption"/>
        <w:keepNext/>
        <w:tabs>
          <w:tab w:val="left" w:pos="7513"/>
        </w:tabs>
        <w:rPr>
          <w:color w:val="auto"/>
          <w:sz w:val="28"/>
          <w:szCs w:val="28"/>
        </w:rPr>
      </w:pPr>
    </w:p>
    <w:p w14:paraId="7C2E264E" w14:textId="77777777" w:rsidR="002B5543" w:rsidRDefault="002B5543" w:rsidP="00AF588D">
      <w:r>
        <w:rPr>
          <w:noProof/>
          <w:lang w:eastAsia="en-GB"/>
        </w:rPr>
        <w:drawing>
          <wp:inline distT="0" distB="0" distL="0" distR="0" wp14:anchorId="70CDE9F3" wp14:editId="4E66CE3A">
            <wp:extent cx="5890662" cy="4754880"/>
            <wp:effectExtent l="0" t="0" r="15240" b="7620"/>
            <wp:docPr id="16" name="Chart 16">
              <a:extLst xmlns:a="http://schemas.openxmlformats.org/drawingml/2006/main">
                <a:ext uri="{FF2B5EF4-FFF2-40B4-BE49-F238E27FC236}">
                  <a16:creationId xmlns:a16="http://schemas.microsoft.com/office/drawing/2014/main" id="{E8978DB9-C1C3-454E-872E-F80D90EBBE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4214A59" w14:textId="77777777" w:rsidR="002B5543" w:rsidRDefault="002B5543" w:rsidP="00AF588D"/>
    <w:p w14:paraId="043C471B" w14:textId="7DF1E669" w:rsidR="002B5543" w:rsidRPr="00AF588D" w:rsidRDefault="002B5543" w:rsidP="00AF588D">
      <w:pPr>
        <w:rPr>
          <w:lang w:val="en-US"/>
        </w:rPr>
      </w:pPr>
      <w:r>
        <w:t xml:space="preserve">Figure </w:t>
      </w:r>
      <w:r w:rsidR="00D32912">
        <w:rPr>
          <w:noProof/>
        </w:rPr>
        <w:fldChar w:fldCharType="begin"/>
      </w:r>
      <w:r w:rsidR="00D32912">
        <w:rPr>
          <w:noProof/>
        </w:rPr>
        <w:instrText xml:space="preserve"> SEQ Figure \* ARABIC </w:instrText>
      </w:r>
      <w:r w:rsidR="00D32912">
        <w:rPr>
          <w:noProof/>
        </w:rPr>
        <w:fldChar w:fldCharType="separate"/>
      </w:r>
      <w:r>
        <w:rPr>
          <w:noProof/>
        </w:rPr>
        <w:t>4</w:t>
      </w:r>
      <w:r w:rsidR="00D32912">
        <w:rPr>
          <w:noProof/>
        </w:rPr>
        <w:fldChar w:fldCharType="end"/>
      </w:r>
      <w:r>
        <w:t xml:space="preserve">: Non-staff costs by component </w:t>
      </w:r>
    </w:p>
    <w:p w14:paraId="668DBAE5" w14:textId="572B67AB" w:rsidR="002B5543" w:rsidRDefault="002B5543" w:rsidP="63E9434F">
      <w:r>
        <w:t>The below pie chart shows the foll</w:t>
      </w:r>
      <w:r w:rsidR="00B74972">
        <w:t>o</w:t>
      </w:r>
      <w:r>
        <w:t>wing breakdown of non- staff costs by component: Overheads 80%; Cost of equipment 12%; Travel expenses 8%.</w:t>
      </w:r>
    </w:p>
    <w:p w14:paraId="49B8AB3F" w14:textId="2650FEE1" w:rsidR="002B5543" w:rsidRDefault="002B5543" w:rsidP="002A64FA">
      <w:r>
        <w:rPr>
          <w:noProof/>
          <w:lang w:eastAsia="en-GB"/>
        </w:rPr>
        <w:drawing>
          <wp:inline distT="0" distB="0" distL="0" distR="0" wp14:anchorId="0C4EC42D" wp14:editId="411A01CA">
            <wp:extent cx="5621154" cy="4109987"/>
            <wp:effectExtent l="0" t="0" r="17780" b="5080"/>
            <wp:docPr id="17" name="Chart 17">
              <a:extLst xmlns:a="http://schemas.openxmlformats.org/drawingml/2006/main">
                <a:ext uri="{FF2B5EF4-FFF2-40B4-BE49-F238E27FC236}">
                  <a16:creationId xmlns:a16="http://schemas.microsoft.com/office/drawing/2014/main" id="{B3125A65-BA40-459C-A48A-A69ADB874E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AE17026" w14:textId="77777777" w:rsidR="002B5543" w:rsidRDefault="002B5543" w:rsidP="002A64FA"/>
    <w:p w14:paraId="2496C675" w14:textId="02E08BB1" w:rsidR="002B5543" w:rsidRPr="00E2481B" w:rsidRDefault="002B5543" w:rsidP="002A64FA">
      <w:r w:rsidRPr="00E2481B">
        <w:t xml:space="preserve">The breakdown of costs shown in Tables 1 and 2, and Figures 3 and 4 above, demonstrate that the most significant amount of resource is being channelled into the </w:t>
      </w:r>
      <w:r>
        <w:t>in-depth rehabilitation</w:t>
      </w:r>
      <w:r w:rsidRPr="00E2481B">
        <w:t xml:space="preserve"> stage of vision rehabilitation i.e. 6</w:t>
      </w:r>
      <w:r>
        <w:t>3</w:t>
      </w:r>
      <w:r w:rsidRPr="00E2481B">
        <w:t>% of all staff related costs or</w:t>
      </w:r>
      <w:r>
        <w:t xml:space="preserve"> just under 50</w:t>
      </w:r>
      <w:r w:rsidRPr="00E2481B">
        <w:t>% of</w:t>
      </w:r>
      <w:r>
        <w:t xml:space="preserve"> the</w:t>
      </w:r>
      <w:r w:rsidRPr="00E2481B">
        <w:t xml:space="preserve"> total</w:t>
      </w:r>
      <w:r>
        <w:t xml:space="preserve"> calculated</w:t>
      </w:r>
      <w:r w:rsidRPr="00E2481B">
        <w:t xml:space="preserve"> costs for the service. </w:t>
      </w:r>
    </w:p>
    <w:p w14:paraId="45F7F6CD" w14:textId="03D9B308" w:rsidR="002B5543" w:rsidRPr="00E2481B" w:rsidRDefault="002B5543" w:rsidP="002A64FA">
      <w:r w:rsidRPr="00E2481B">
        <w:t>In 2015/16 a total of 702 clients received a special</w:t>
      </w:r>
      <w:r>
        <w:t>ist assessment. D</w:t>
      </w:r>
      <w:r w:rsidRPr="00E2481B">
        <w:t xml:space="preserve">ata was not available on the </w:t>
      </w:r>
      <w:r>
        <w:t>number</w:t>
      </w:r>
      <w:r w:rsidRPr="00E2481B">
        <w:t xml:space="preserve"> of clients that go on to receive in-depth rehabilitation but we do know that a total of 2</w:t>
      </w:r>
      <w:r>
        <w:t>84 referrals</w:t>
      </w:r>
      <w:r w:rsidRPr="00E2481B">
        <w:t xml:space="preserve"> were </w:t>
      </w:r>
      <w:r>
        <w:t>made to in-depth rehabilitation in 2015/16 (see section 3.2 for further detail). Therefore, the number of individuals receiving in-depth rehabilitation visits is less than or equal to 284</w:t>
      </w:r>
      <w:r w:rsidRPr="00E2481B">
        <w:t xml:space="preserve">. </w:t>
      </w:r>
    </w:p>
    <w:p w14:paraId="77951956" w14:textId="6AFDEA92" w:rsidR="002B5543" w:rsidRDefault="002B5543" w:rsidP="00483468">
      <w:pPr>
        <w:pStyle w:val="Heading2"/>
      </w:pPr>
      <w:bookmarkStart w:id="44" w:name="_Toc485896972"/>
      <w:r>
        <w:t>4.2 The impact of vision rehabilitation</w:t>
      </w:r>
      <w:bookmarkEnd w:id="44"/>
      <w:r>
        <w:t xml:space="preserve">  </w:t>
      </w:r>
    </w:p>
    <w:p w14:paraId="68EB8E1F" w14:textId="2D347469" w:rsidR="002B5543" w:rsidRDefault="002B5543" w:rsidP="00F44A84">
      <w:pPr>
        <w:pStyle w:val="Heading3"/>
      </w:pPr>
      <w:r>
        <w:t xml:space="preserve">Service user needs </w:t>
      </w:r>
    </w:p>
    <w:p w14:paraId="08CF5382" w14:textId="679219BA" w:rsidR="002B5543" w:rsidRDefault="002B5543" w:rsidP="009C5874">
      <w:pPr>
        <w:pStyle w:val="ListBullet"/>
      </w:pPr>
      <w:r>
        <w:t>Through the initial assessment of client needs and the specialist assessment, the Sight for Surrey team identify the needs for each individual referred in to the service. The needs most commonly identified for clients of the vision rehabilitation service include:</w:t>
      </w:r>
    </w:p>
    <w:p w14:paraId="14C35B40" w14:textId="0D449D8B" w:rsidR="002B5543" w:rsidRPr="00BD509C" w:rsidRDefault="002B5543" w:rsidP="00361C02">
      <w:pPr>
        <w:pStyle w:val="ListParagraph"/>
        <w:numPr>
          <w:ilvl w:val="0"/>
          <w:numId w:val="42"/>
        </w:numPr>
      </w:pPr>
      <w:r w:rsidRPr="00BD509C">
        <w:t>Not able (or confidently able) to get out of the house e.g. not able to travel independently or lack of confidence;</w:t>
      </w:r>
    </w:p>
    <w:p w14:paraId="2590627F" w14:textId="7541BC1D" w:rsidR="002B5543" w:rsidRPr="00BD509C" w:rsidRDefault="002B5543" w:rsidP="00361C02">
      <w:pPr>
        <w:pStyle w:val="ListParagraph"/>
        <w:numPr>
          <w:ilvl w:val="0"/>
          <w:numId w:val="42"/>
        </w:numPr>
      </w:pPr>
      <w:r w:rsidRPr="00BD509C">
        <w:t>Not able to access the information they need e.g. reading mail, prescriptions and medicine labels, hospital appointmen</w:t>
      </w:r>
      <w:r w:rsidR="00BD509C">
        <w:t>t letters, etc.;</w:t>
      </w:r>
    </w:p>
    <w:p w14:paraId="2F1F571D" w14:textId="1929C5A8" w:rsidR="002B5543" w:rsidRPr="00BD509C" w:rsidRDefault="002B5543" w:rsidP="00361C02">
      <w:pPr>
        <w:pStyle w:val="ListParagraph"/>
        <w:numPr>
          <w:ilvl w:val="0"/>
          <w:numId w:val="42"/>
        </w:numPr>
      </w:pPr>
      <w:r w:rsidRPr="00BD509C">
        <w:t>Difficulty communicating with friends and family or services e.g. by telephone or email;</w:t>
      </w:r>
    </w:p>
    <w:p w14:paraId="605DB71E" w14:textId="1C37FF78" w:rsidR="002B5543" w:rsidRPr="00BD509C" w:rsidRDefault="002B5543" w:rsidP="00361C02">
      <w:pPr>
        <w:pStyle w:val="ListParagraph"/>
        <w:numPr>
          <w:ilvl w:val="0"/>
          <w:numId w:val="42"/>
        </w:numPr>
      </w:pPr>
      <w:r w:rsidRPr="00BD509C">
        <w:t xml:space="preserve">Not able to cook or prepare drinks safely; </w:t>
      </w:r>
    </w:p>
    <w:p w14:paraId="0646F3F6" w14:textId="02ED0ED9" w:rsidR="002B5543" w:rsidRPr="00BD509C" w:rsidRDefault="002B5543" w:rsidP="00361C02">
      <w:pPr>
        <w:pStyle w:val="ListParagraph"/>
        <w:numPr>
          <w:ilvl w:val="0"/>
          <w:numId w:val="42"/>
        </w:numPr>
      </w:pPr>
      <w:r w:rsidRPr="00BD509C">
        <w:t>Facing loneliness and social isolation.</w:t>
      </w:r>
    </w:p>
    <w:p w14:paraId="07D96CBB" w14:textId="08FC70C6" w:rsidR="002B5543" w:rsidRDefault="002B5543" w:rsidP="00F44A84">
      <w:pPr>
        <w:pStyle w:val="Heading3"/>
        <w:rPr>
          <w:lang w:eastAsia="en-GB"/>
        </w:rPr>
      </w:pPr>
      <w:r>
        <w:rPr>
          <w:lang w:eastAsia="en-GB"/>
        </w:rPr>
        <w:t xml:space="preserve">Outcomes for service users </w:t>
      </w:r>
    </w:p>
    <w:p w14:paraId="409563A4" w14:textId="3A97C424" w:rsidR="002B5543" w:rsidRDefault="002B5543" w:rsidP="00F44A84">
      <w:pPr>
        <w:pStyle w:val="Heading4"/>
        <w:rPr>
          <w:lang w:eastAsia="en-GB"/>
        </w:rPr>
      </w:pPr>
      <w:r>
        <w:rPr>
          <w:lang w:eastAsia="en-GB"/>
        </w:rPr>
        <w:t xml:space="preserve">Immediate outcomes </w:t>
      </w:r>
    </w:p>
    <w:p w14:paraId="09F199E3" w14:textId="77777777" w:rsidR="002B5543" w:rsidRDefault="002B5543" w:rsidP="00AF32EE">
      <w:pPr>
        <w:rPr>
          <w:lang w:eastAsia="en-GB"/>
        </w:rPr>
      </w:pPr>
      <w:r>
        <w:rPr>
          <w:lang w:eastAsia="en-GB"/>
        </w:rPr>
        <w:t>Interviews with Sight for Surrey service users and professional staff reveal a clear set of outcomes experienced by service users as well as a perspective on the impact for their family members and informal carers.</w:t>
      </w:r>
    </w:p>
    <w:p w14:paraId="5928A61D" w14:textId="7C0FEC85" w:rsidR="002B5543" w:rsidRDefault="002B5543" w:rsidP="00AF32EE">
      <w:pPr>
        <w:rPr>
          <w:lang w:eastAsia="en-GB"/>
        </w:rPr>
      </w:pPr>
      <w:r>
        <w:rPr>
          <w:lang w:eastAsia="en-GB"/>
        </w:rPr>
        <w:t xml:space="preserve"> </w:t>
      </w:r>
    </w:p>
    <w:p w14:paraId="19FD8154" w14:textId="60D81CD4" w:rsidR="002B5543" w:rsidRDefault="002B5543" w:rsidP="00AF32EE">
      <w:pPr>
        <w:rPr>
          <w:lang w:eastAsia="en-GB"/>
        </w:rPr>
      </w:pPr>
      <w:r>
        <w:rPr>
          <w:lang w:eastAsia="en-GB"/>
        </w:rPr>
        <w:t xml:space="preserve">There were four key areas of impact for vision rehabilitation clients (below and shown in Figure 5) encompassing improvements in relation to: </w:t>
      </w:r>
    </w:p>
    <w:p w14:paraId="4EA7237B" w14:textId="7301C7B4" w:rsidR="002B5543" w:rsidRDefault="002B5543" w:rsidP="00361C02">
      <w:pPr>
        <w:pStyle w:val="ListParagraph"/>
        <w:numPr>
          <w:ilvl w:val="0"/>
          <w:numId w:val="16"/>
        </w:numPr>
        <w:rPr>
          <w:lang w:eastAsia="en-GB"/>
        </w:rPr>
      </w:pPr>
      <w:r>
        <w:rPr>
          <w:lang w:eastAsia="en-GB"/>
        </w:rPr>
        <w:t xml:space="preserve">Functional independence </w:t>
      </w:r>
    </w:p>
    <w:p w14:paraId="02AB485C" w14:textId="6F37BBD3" w:rsidR="002B5543" w:rsidRDefault="002B5543" w:rsidP="00361C02">
      <w:pPr>
        <w:pStyle w:val="ListParagraph"/>
        <w:numPr>
          <w:ilvl w:val="0"/>
          <w:numId w:val="16"/>
        </w:numPr>
        <w:rPr>
          <w:lang w:eastAsia="en-GB"/>
        </w:rPr>
      </w:pPr>
      <w:r>
        <w:rPr>
          <w:lang w:eastAsia="en-GB"/>
        </w:rPr>
        <w:t xml:space="preserve">Personal safety </w:t>
      </w:r>
    </w:p>
    <w:p w14:paraId="6FE53DC8" w14:textId="50629BC9" w:rsidR="002B5543" w:rsidRDefault="002B5543" w:rsidP="00361C02">
      <w:pPr>
        <w:pStyle w:val="ListParagraph"/>
        <w:numPr>
          <w:ilvl w:val="0"/>
          <w:numId w:val="16"/>
        </w:numPr>
        <w:rPr>
          <w:lang w:eastAsia="en-GB"/>
        </w:rPr>
      </w:pPr>
      <w:r>
        <w:rPr>
          <w:lang w:eastAsia="en-GB"/>
        </w:rPr>
        <w:t xml:space="preserve">Emotional wellbeing </w:t>
      </w:r>
    </w:p>
    <w:p w14:paraId="3074CEE6" w14:textId="69D5F295" w:rsidR="002B5543" w:rsidRDefault="002B5543" w:rsidP="00361C02">
      <w:pPr>
        <w:pStyle w:val="ListParagraph"/>
        <w:numPr>
          <w:ilvl w:val="0"/>
          <w:numId w:val="16"/>
        </w:numPr>
        <w:rPr>
          <w:lang w:eastAsia="en-GB"/>
        </w:rPr>
      </w:pPr>
      <w:r>
        <w:rPr>
          <w:lang w:eastAsia="en-GB"/>
        </w:rPr>
        <w:t xml:space="preserve">Social participation </w:t>
      </w:r>
    </w:p>
    <w:p w14:paraId="4FC833FE" w14:textId="77777777" w:rsidR="002B5543" w:rsidRDefault="002B5543" w:rsidP="00BD509C">
      <w:pPr>
        <w:rPr>
          <w:lang w:eastAsia="en-GB"/>
        </w:rPr>
      </w:pPr>
    </w:p>
    <w:p w14:paraId="64C5D5DC" w14:textId="6EE94197" w:rsidR="002B5543" w:rsidRDefault="002B5543" w:rsidP="00CD0B3D">
      <w:pPr>
        <w:pStyle w:val="EndnoteText"/>
        <w:rPr>
          <w:lang w:eastAsia="en-GB"/>
        </w:rPr>
      </w:pPr>
      <w:r w:rsidRPr="004807B3">
        <w:rPr>
          <w:lang w:eastAsia="en-GB"/>
        </w:rPr>
        <w:t xml:space="preserve">While the above </w:t>
      </w:r>
      <w:r>
        <w:rPr>
          <w:lang w:eastAsia="en-GB"/>
        </w:rPr>
        <w:t>impact areas</w:t>
      </w:r>
      <w:r w:rsidRPr="004807B3">
        <w:rPr>
          <w:lang w:eastAsia="en-GB"/>
        </w:rPr>
        <w:t xml:space="preserve"> </w:t>
      </w:r>
      <w:r>
        <w:rPr>
          <w:lang w:eastAsia="en-GB"/>
        </w:rPr>
        <w:t>were</w:t>
      </w:r>
      <w:r w:rsidRPr="004807B3">
        <w:rPr>
          <w:lang w:eastAsia="en-GB"/>
        </w:rPr>
        <w:t xml:space="preserve"> uncovered through primary research with Sight for Surrey professionals and service </w:t>
      </w:r>
      <w:r>
        <w:rPr>
          <w:lang w:eastAsia="en-GB"/>
        </w:rPr>
        <w:t>users, wider evidence suggest</w:t>
      </w:r>
      <w:r w:rsidRPr="004807B3">
        <w:rPr>
          <w:lang w:eastAsia="en-GB"/>
        </w:rPr>
        <w:t xml:space="preserve">s that these types of outcomes </w:t>
      </w:r>
      <w:r>
        <w:rPr>
          <w:lang w:eastAsia="en-GB"/>
        </w:rPr>
        <w:t>are likely to be</w:t>
      </w:r>
      <w:r w:rsidRPr="004807B3">
        <w:rPr>
          <w:lang w:eastAsia="en-GB"/>
        </w:rPr>
        <w:t xml:space="preserve"> common for vision rehabilitation services more generally. In particular, Rabiee et al</w:t>
      </w:r>
      <w:r>
        <w:rPr>
          <w:lang w:eastAsia="en-GB"/>
        </w:rPr>
        <w:t xml:space="preserve"> [</w:t>
      </w:r>
      <w:r w:rsidRPr="00466977">
        <w:rPr>
          <w:rStyle w:val="EndnoteReference"/>
        </w:rPr>
        <w:endnoteReference w:id="35"/>
      </w:r>
      <w:r>
        <w:rPr>
          <w:lang w:eastAsia="en-GB"/>
        </w:rPr>
        <w:t>]</w:t>
      </w:r>
      <w:r w:rsidRPr="004807B3">
        <w:rPr>
          <w:lang w:eastAsia="en-GB"/>
        </w:rPr>
        <w:t xml:space="preserve"> collate</w:t>
      </w:r>
      <w:r>
        <w:rPr>
          <w:lang w:eastAsia="en-GB"/>
        </w:rPr>
        <w:t>d</w:t>
      </w:r>
      <w:r w:rsidRPr="004807B3">
        <w:rPr>
          <w:lang w:eastAsia="en-GB"/>
        </w:rPr>
        <w:t xml:space="preserve"> evidence from a numbe</w:t>
      </w:r>
      <w:r>
        <w:rPr>
          <w:lang w:eastAsia="en-GB"/>
        </w:rPr>
        <w:t>r of US-</w:t>
      </w:r>
      <w:r w:rsidRPr="004807B3">
        <w:rPr>
          <w:lang w:eastAsia="en-GB"/>
        </w:rPr>
        <w:t xml:space="preserve">based studies </w:t>
      </w:r>
      <w:r>
        <w:rPr>
          <w:lang w:eastAsia="en-GB"/>
        </w:rPr>
        <w:t>to find</w:t>
      </w:r>
      <w:r w:rsidRPr="004807B3">
        <w:rPr>
          <w:lang w:eastAsia="en-GB"/>
        </w:rPr>
        <w:t xml:space="preserve"> that the two most prominent areas in which vision rehabilitation services are effective are: helping clients to accomplish daily tasks and to adjust emotionally to vision loss. Taking research on reablement services as a proxy for vision rehabilitation, we can also be </w:t>
      </w:r>
      <w:r>
        <w:rPr>
          <w:lang w:eastAsia="en-GB"/>
        </w:rPr>
        <w:t>more confident</w:t>
      </w:r>
      <w:r w:rsidRPr="004807B3">
        <w:rPr>
          <w:lang w:eastAsia="en-GB"/>
        </w:rPr>
        <w:t xml:space="preserve"> that the functional independence and personal safety outcomes </w:t>
      </w:r>
      <w:r>
        <w:rPr>
          <w:lang w:eastAsia="en-GB"/>
        </w:rPr>
        <w:t xml:space="preserve">we </w:t>
      </w:r>
      <w:r w:rsidRPr="004807B3">
        <w:rPr>
          <w:lang w:eastAsia="en-GB"/>
        </w:rPr>
        <w:t>heard about in interviews are accepted outcomes of reablement services that aim to 'reduce the number of care hours required to support a person at home or develop their independence so that they can remain in their own home instead of being admitted to residential or nursing care'</w:t>
      </w:r>
      <w:r>
        <w:rPr>
          <w:lang w:eastAsia="en-GB"/>
        </w:rPr>
        <w:t xml:space="preserve"> [</w:t>
      </w:r>
      <w:r w:rsidRPr="00466977">
        <w:rPr>
          <w:rStyle w:val="EndnoteReference"/>
        </w:rPr>
        <w:endnoteReference w:id="36"/>
      </w:r>
      <w:r>
        <w:rPr>
          <w:lang w:eastAsia="en-GB"/>
        </w:rPr>
        <w:t>].</w:t>
      </w:r>
    </w:p>
    <w:p w14:paraId="7B421C5B" w14:textId="77777777" w:rsidR="002B5543" w:rsidRDefault="002B5543" w:rsidP="00AF32EE">
      <w:pPr>
        <w:rPr>
          <w:lang w:eastAsia="en-GB"/>
        </w:rPr>
      </w:pPr>
    </w:p>
    <w:p w14:paraId="10E4E2E1" w14:textId="5228F1B3" w:rsidR="002B5543" w:rsidRPr="00D92B5B" w:rsidRDefault="002B5543" w:rsidP="002A64FA">
      <w:pPr>
        <w:pStyle w:val="Caption"/>
        <w:keepNext/>
        <w:rPr>
          <w:color w:val="auto"/>
          <w:sz w:val="28"/>
          <w:szCs w:val="28"/>
        </w:rPr>
      </w:pPr>
      <w:r w:rsidRPr="00D92B5B">
        <w:rPr>
          <w:color w:val="auto"/>
          <w:sz w:val="28"/>
          <w:szCs w:val="28"/>
        </w:rPr>
        <w:t xml:space="preserve">Figure 5: The four key impact areas arising for clients of Sight for Surrey’s vision rehabilitation service. </w:t>
      </w:r>
    </w:p>
    <w:p w14:paraId="340E21A3" w14:textId="1160B3C9" w:rsidR="002B5543" w:rsidRDefault="002B5543" w:rsidP="32D8A4E4"/>
    <w:p w14:paraId="37F3253C" w14:textId="47FD63A3" w:rsidR="002B5543" w:rsidRDefault="002B5543" w:rsidP="00361C02">
      <w:pPr>
        <w:pStyle w:val="ListParagraph"/>
        <w:numPr>
          <w:ilvl w:val="0"/>
          <w:numId w:val="22"/>
        </w:numPr>
        <w:rPr>
          <w:szCs w:val="28"/>
        </w:rPr>
      </w:pPr>
      <w:r w:rsidRPr="32D8A4E4">
        <w:t>Functional independence</w:t>
      </w:r>
    </w:p>
    <w:p w14:paraId="340A23C1" w14:textId="650F7520" w:rsidR="002B5543" w:rsidRDefault="002B5543" w:rsidP="00361C02">
      <w:pPr>
        <w:pStyle w:val="ListParagraph"/>
        <w:numPr>
          <w:ilvl w:val="0"/>
          <w:numId w:val="22"/>
        </w:numPr>
        <w:rPr>
          <w:szCs w:val="28"/>
        </w:rPr>
      </w:pPr>
      <w:r w:rsidRPr="32D8A4E4">
        <w:t>Personal safety</w:t>
      </w:r>
    </w:p>
    <w:p w14:paraId="4648DD35" w14:textId="7602A5CC" w:rsidR="002B5543" w:rsidRDefault="002B5543" w:rsidP="00361C02">
      <w:pPr>
        <w:pStyle w:val="ListParagraph"/>
        <w:numPr>
          <w:ilvl w:val="0"/>
          <w:numId w:val="22"/>
        </w:numPr>
        <w:rPr>
          <w:szCs w:val="28"/>
        </w:rPr>
      </w:pPr>
      <w:r w:rsidRPr="32D8A4E4">
        <w:t>Emotional wellbeing</w:t>
      </w:r>
    </w:p>
    <w:p w14:paraId="7F27389D" w14:textId="3A9E2F8F" w:rsidR="002B5543" w:rsidRDefault="002B5543" w:rsidP="00361C02">
      <w:pPr>
        <w:pStyle w:val="ListParagraph"/>
        <w:numPr>
          <w:ilvl w:val="0"/>
          <w:numId w:val="22"/>
        </w:numPr>
        <w:rPr>
          <w:szCs w:val="28"/>
        </w:rPr>
      </w:pPr>
      <w:r w:rsidRPr="32D8A4E4">
        <w:t>Social participation</w:t>
      </w:r>
    </w:p>
    <w:p w14:paraId="38133A2B" w14:textId="1706B1B0" w:rsidR="002B5543" w:rsidRDefault="002B5543" w:rsidP="00AF32EE">
      <w:pPr>
        <w:rPr>
          <w:lang w:eastAsia="en-GB"/>
        </w:rPr>
      </w:pPr>
    </w:p>
    <w:p w14:paraId="1F9E8318" w14:textId="619BD855" w:rsidR="002B5543" w:rsidRDefault="002B5543" w:rsidP="004807B3">
      <w:pPr>
        <w:rPr>
          <w:lang w:eastAsia="en-GB"/>
        </w:rPr>
      </w:pPr>
      <w:r>
        <w:rPr>
          <w:lang w:eastAsia="en-GB"/>
        </w:rPr>
        <w:t xml:space="preserve">These four overarching impact areas can be split down further into outcomes – the changes, benefits or other effects experienced by service users. These are outlined in more detail in Table 3 below. </w:t>
      </w:r>
    </w:p>
    <w:p w14:paraId="60CC1FD1" w14:textId="77777777" w:rsidR="002B5543" w:rsidRPr="004807B3" w:rsidRDefault="002B5543" w:rsidP="004807B3">
      <w:pPr>
        <w:rPr>
          <w:szCs w:val="28"/>
        </w:rPr>
      </w:pPr>
    </w:p>
    <w:p w14:paraId="7C490275" w14:textId="58B5FF6A" w:rsidR="002B5543" w:rsidRDefault="002B5543" w:rsidP="005D1E2D">
      <w:pPr>
        <w:pStyle w:val="Caption"/>
        <w:keepNext/>
      </w:pPr>
      <w:r w:rsidRPr="00B74972">
        <w:rPr>
          <w:color w:val="auto"/>
          <w:sz w:val="28"/>
          <w:szCs w:val="28"/>
        </w:rPr>
        <w:t xml:space="preserve">Table </w:t>
      </w:r>
      <w:r w:rsidR="003944CD" w:rsidRPr="00B74972">
        <w:rPr>
          <w:color w:val="auto"/>
          <w:sz w:val="28"/>
          <w:szCs w:val="28"/>
        </w:rPr>
        <w:fldChar w:fldCharType="begin"/>
      </w:r>
      <w:r w:rsidR="003944CD" w:rsidRPr="00B74972">
        <w:rPr>
          <w:color w:val="auto"/>
          <w:sz w:val="28"/>
          <w:szCs w:val="28"/>
        </w:rPr>
        <w:instrText xml:space="preserve"> SEQ Table \* ARABIC </w:instrText>
      </w:r>
      <w:r w:rsidR="003944CD" w:rsidRPr="00B74972">
        <w:rPr>
          <w:color w:val="auto"/>
          <w:sz w:val="28"/>
          <w:szCs w:val="28"/>
        </w:rPr>
        <w:fldChar w:fldCharType="separate"/>
      </w:r>
      <w:r w:rsidRPr="00B74972">
        <w:rPr>
          <w:noProof/>
          <w:color w:val="auto"/>
          <w:sz w:val="28"/>
          <w:szCs w:val="28"/>
        </w:rPr>
        <w:t>3</w:t>
      </w:r>
      <w:r w:rsidR="003944CD" w:rsidRPr="00B74972">
        <w:rPr>
          <w:noProof/>
          <w:color w:val="auto"/>
          <w:sz w:val="28"/>
          <w:szCs w:val="28"/>
        </w:rPr>
        <w:fldChar w:fldCharType="end"/>
      </w:r>
      <w:r w:rsidRPr="00B74972">
        <w:rPr>
          <w:color w:val="auto"/>
          <w:sz w:val="28"/>
          <w:szCs w:val="28"/>
        </w:rPr>
        <w:t xml:space="preserve">: </w:t>
      </w:r>
      <w:r w:rsidRPr="5809C24E">
        <w:rPr>
          <w:color w:val="auto"/>
          <w:sz w:val="28"/>
          <w:szCs w:val="28"/>
        </w:rPr>
        <w:t>Outcomes for vision rehabilitation clients</w:t>
      </w:r>
    </w:p>
    <w:tbl>
      <w:tblPr>
        <w:tblStyle w:val="OPMLightListorBox"/>
        <w:tblW w:w="87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Table 3: Outcomes for vision rehabilitation clients "/>
        <w:tblDescription w:val="This table involves two columns - the first contains the four impact areas for Sight for Surrey clients and the second contains the outcomes that relate to each of these four areas. The outcomes in the functional independence area are: a. Improved ability to travel (alone) outside of the house in local area&#10;b. Improved ability to travel (alone) on public transport &#10;c. Increased ability to complete daily living tasks in the home independently -  does not require outside assistance&#10;d. Increased ability to complete daily living tasks in the home independently -  stays in own home longer &#10;e. Increased ability to complete daily living tasks in the home independently -  relies less on family members/carer In the Increased personal safety impact area they are: a. Less likely to be injured from accidents in and outside the home and require ambulance&#10;b. Less likely to be injured from accidents in and outside the home and require A &amp; E visit&#10;c. Less likely to be injured from accidents in and outside the home and require hospital admission&#10;d. Less likely to be injured from accidents in and outside the home and require follow-up care for injury i.e. by GP &#10;In the improved emotional welling impact area they are: a. Increased level of acceptance of vision impairment condition &#10;b. Increased confidence completing daily living tasks independently&#10;c.  Increased feelings of dignity (esp. regarding eating)&#10;d. Increased levels of enjoyment in leisure time &#10;e. Increased sense or feeling of safety &#10;In the decreased social isolation area they are: a. Service user has increased contact with people in the community, networks and friends &#10;b. Service user has improved ability to use communications technology i.e. telephone, computer&#10;&#10; "/>
      </w:tblPr>
      <w:tblGrid>
        <w:gridCol w:w="2127"/>
        <w:gridCol w:w="6672"/>
      </w:tblGrid>
      <w:tr w:rsidR="002B5543" w:rsidRPr="0023441C" w14:paraId="2F9A5CE5" w14:textId="77777777" w:rsidTr="00B74972">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127" w:type="dxa"/>
            <w:noWrap/>
            <w:hideMark/>
          </w:tcPr>
          <w:p w14:paraId="17F036F2" w14:textId="58A62A4B" w:rsidR="002B5543" w:rsidRPr="002A64FA" w:rsidRDefault="002B5543" w:rsidP="002A64FA">
            <w:pPr>
              <w:spacing w:before="60" w:after="60"/>
              <w:rPr>
                <w:rFonts w:eastAsiaTheme="minorEastAsia"/>
                <w:color w:val="191919" w:themeColor="background2" w:themeShade="1A"/>
                <w:lang w:val="en-AU"/>
              </w:rPr>
            </w:pPr>
            <w:r w:rsidRPr="32D8A4E4">
              <w:rPr>
                <w:rFonts w:eastAsiaTheme="minorEastAsia"/>
                <w:color w:val="191919" w:themeColor="background2" w:themeShade="1A"/>
                <w:lang w:val="en-AU"/>
              </w:rPr>
              <w:t xml:space="preserve">Area of impact </w:t>
            </w:r>
          </w:p>
        </w:tc>
        <w:tc>
          <w:tcPr>
            <w:tcW w:w="6672" w:type="dxa"/>
            <w:hideMark/>
          </w:tcPr>
          <w:p w14:paraId="75789FE0" w14:textId="77777777" w:rsidR="002B5543" w:rsidRPr="002A64FA" w:rsidRDefault="002B5543" w:rsidP="002A64FA">
            <w:pPr>
              <w:spacing w:before="60" w:after="60"/>
              <w:cnfStyle w:val="100000000000" w:firstRow="1" w:lastRow="0" w:firstColumn="0" w:lastColumn="0" w:oddVBand="0" w:evenVBand="0" w:oddHBand="0" w:evenHBand="0" w:firstRowFirstColumn="0" w:firstRowLastColumn="0" w:lastRowFirstColumn="0" w:lastRowLastColumn="0"/>
              <w:rPr>
                <w:rFonts w:eastAsiaTheme="minorEastAsia"/>
                <w:color w:val="191919" w:themeColor="background2" w:themeShade="1A"/>
                <w:lang w:val="en-AU"/>
              </w:rPr>
            </w:pPr>
            <w:r w:rsidRPr="32D8A4E4">
              <w:rPr>
                <w:rFonts w:eastAsiaTheme="minorEastAsia"/>
                <w:color w:val="191919" w:themeColor="background2" w:themeShade="1A"/>
                <w:lang w:val="en-AU"/>
              </w:rPr>
              <w:t xml:space="preserve">Outcomes </w:t>
            </w:r>
          </w:p>
        </w:tc>
      </w:tr>
      <w:tr w:rsidR="002B5543" w:rsidRPr="0023441C" w14:paraId="46E41CC7" w14:textId="77777777" w:rsidTr="00B74972">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127" w:type="dxa"/>
            <w:vMerge w:val="restart"/>
            <w:tcBorders>
              <w:top w:val="none" w:sz="0" w:space="0" w:color="auto"/>
              <w:left w:val="none" w:sz="0" w:space="0" w:color="auto"/>
              <w:bottom w:val="none" w:sz="0" w:space="0" w:color="auto"/>
            </w:tcBorders>
            <w:hideMark/>
          </w:tcPr>
          <w:p w14:paraId="4FEA953B" w14:textId="77777777" w:rsidR="002B5543" w:rsidRPr="002A64FA" w:rsidRDefault="002B5543" w:rsidP="002A64FA">
            <w:pPr>
              <w:spacing w:before="60" w:after="60"/>
              <w:rPr>
                <w:rFonts w:eastAsiaTheme="minorEastAsia"/>
                <w:color w:val="000000"/>
                <w:szCs w:val="28"/>
                <w:lang w:val="en-AU"/>
              </w:rPr>
            </w:pPr>
            <w:r w:rsidRPr="32D8A4E4">
              <w:rPr>
                <w:rFonts w:eastAsiaTheme="minorEastAsia"/>
                <w:color w:val="000000"/>
                <w:szCs w:val="28"/>
                <w:lang w:val="en-AU"/>
              </w:rPr>
              <w:t>1. Functional independence</w:t>
            </w:r>
          </w:p>
        </w:tc>
        <w:tc>
          <w:tcPr>
            <w:tcW w:w="6672" w:type="dxa"/>
            <w:tcBorders>
              <w:top w:val="none" w:sz="0" w:space="0" w:color="auto"/>
              <w:bottom w:val="none" w:sz="0" w:space="0" w:color="auto"/>
              <w:right w:val="none" w:sz="0" w:space="0" w:color="auto"/>
            </w:tcBorders>
            <w:hideMark/>
          </w:tcPr>
          <w:p w14:paraId="756BE2AE" w14:textId="77777777" w:rsidR="002B5543" w:rsidRPr="0023441C" w:rsidRDefault="002B5543" w:rsidP="002A64FA">
            <w:pPr>
              <w:spacing w:before="60" w:after="60"/>
              <w:cnfStyle w:val="000000100000" w:firstRow="0" w:lastRow="0" w:firstColumn="0" w:lastColumn="0" w:oddVBand="0" w:evenVBand="0" w:oddHBand="1" w:evenHBand="0" w:firstRowFirstColumn="0" w:firstRowLastColumn="0" w:lastRowFirstColumn="0" w:lastRowLastColumn="0"/>
              <w:rPr>
                <w:rFonts w:eastAsiaTheme="minorEastAsia"/>
                <w:color w:val="000000"/>
                <w:szCs w:val="28"/>
                <w:lang w:val="en-AU"/>
              </w:rPr>
            </w:pPr>
            <w:r w:rsidRPr="32D8A4E4">
              <w:rPr>
                <w:rFonts w:eastAsiaTheme="minorEastAsia"/>
                <w:color w:val="000000"/>
                <w:szCs w:val="28"/>
                <w:lang w:val="en-AU"/>
              </w:rPr>
              <w:t>a. Improved ability to travel (alone) outside of the house in local area</w:t>
            </w:r>
          </w:p>
        </w:tc>
      </w:tr>
      <w:tr w:rsidR="002B5543" w:rsidRPr="0023441C" w14:paraId="7493CB8B" w14:textId="77777777" w:rsidTr="00B74972">
        <w:trPr>
          <w:trHeight w:val="437"/>
        </w:trPr>
        <w:tc>
          <w:tcPr>
            <w:cnfStyle w:val="001000000000" w:firstRow="0" w:lastRow="0" w:firstColumn="1" w:lastColumn="0" w:oddVBand="0" w:evenVBand="0" w:oddHBand="0" w:evenHBand="0" w:firstRowFirstColumn="0" w:firstRowLastColumn="0" w:lastRowFirstColumn="0" w:lastRowLastColumn="0"/>
            <w:tcW w:w="2127" w:type="dxa"/>
            <w:vMerge/>
            <w:hideMark/>
          </w:tcPr>
          <w:p w14:paraId="3830E9F7" w14:textId="77777777" w:rsidR="002B5543" w:rsidRPr="002A64FA" w:rsidRDefault="002B5543" w:rsidP="002A64FA">
            <w:pPr>
              <w:spacing w:before="60" w:after="60"/>
              <w:rPr>
                <w:rFonts w:ascii="Calibri" w:eastAsia="Times New Roman" w:hAnsi="Calibri" w:cs="Times New Roman"/>
                <w:bCs w:val="0"/>
                <w:color w:val="000000"/>
                <w:lang w:val="en-AU"/>
              </w:rPr>
            </w:pPr>
          </w:p>
        </w:tc>
        <w:tc>
          <w:tcPr>
            <w:tcW w:w="6672" w:type="dxa"/>
            <w:hideMark/>
          </w:tcPr>
          <w:p w14:paraId="478C833E" w14:textId="77777777" w:rsidR="002B5543" w:rsidRPr="0023441C" w:rsidRDefault="002B5543" w:rsidP="002A64FA">
            <w:pPr>
              <w:spacing w:before="60" w:after="60"/>
              <w:cnfStyle w:val="000000000000" w:firstRow="0" w:lastRow="0" w:firstColumn="0" w:lastColumn="0" w:oddVBand="0" w:evenVBand="0" w:oddHBand="0" w:evenHBand="0" w:firstRowFirstColumn="0" w:firstRowLastColumn="0" w:lastRowFirstColumn="0" w:lastRowLastColumn="0"/>
              <w:rPr>
                <w:rFonts w:eastAsiaTheme="minorEastAsia"/>
                <w:color w:val="000000"/>
                <w:szCs w:val="28"/>
                <w:lang w:val="en-AU"/>
              </w:rPr>
            </w:pPr>
            <w:r w:rsidRPr="32D8A4E4">
              <w:rPr>
                <w:rFonts w:eastAsiaTheme="minorEastAsia"/>
                <w:color w:val="000000"/>
                <w:szCs w:val="28"/>
                <w:lang w:val="en-AU"/>
              </w:rPr>
              <w:t xml:space="preserve">b. Improved ability to travel (alone) on public transport </w:t>
            </w:r>
          </w:p>
        </w:tc>
      </w:tr>
      <w:tr w:rsidR="002B5543" w:rsidRPr="0023441C" w14:paraId="1980F7F5" w14:textId="77777777" w:rsidTr="00B74972">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tcBorders>
            <w:hideMark/>
          </w:tcPr>
          <w:p w14:paraId="64F49485" w14:textId="77777777" w:rsidR="002B5543" w:rsidRPr="002A64FA" w:rsidRDefault="002B5543" w:rsidP="002A64FA">
            <w:pPr>
              <w:spacing w:before="60" w:after="60"/>
              <w:rPr>
                <w:rFonts w:ascii="Calibri" w:eastAsia="Times New Roman" w:hAnsi="Calibri" w:cs="Times New Roman"/>
                <w:bCs w:val="0"/>
                <w:color w:val="000000"/>
                <w:lang w:val="en-AU"/>
              </w:rPr>
            </w:pPr>
          </w:p>
        </w:tc>
        <w:tc>
          <w:tcPr>
            <w:tcW w:w="6672" w:type="dxa"/>
            <w:tcBorders>
              <w:top w:val="none" w:sz="0" w:space="0" w:color="auto"/>
              <w:bottom w:val="none" w:sz="0" w:space="0" w:color="auto"/>
              <w:right w:val="none" w:sz="0" w:space="0" w:color="auto"/>
            </w:tcBorders>
            <w:hideMark/>
          </w:tcPr>
          <w:p w14:paraId="15F2AA6E" w14:textId="77777777" w:rsidR="002B5543" w:rsidRPr="0023441C" w:rsidRDefault="002B5543" w:rsidP="002A64FA">
            <w:pPr>
              <w:spacing w:before="60" w:after="60"/>
              <w:cnfStyle w:val="000000100000" w:firstRow="0" w:lastRow="0" w:firstColumn="0" w:lastColumn="0" w:oddVBand="0" w:evenVBand="0" w:oddHBand="1" w:evenHBand="0" w:firstRowFirstColumn="0" w:firstRowLastColumn="0" w:lastRowFirstColumn="0" w:lastRowLastColumn="0"/>
              <w:rPr>
                <w:rFonts w:eastAsiaTheme="minorEastAsia"/>
                <w:color w:val="000000"/>
                <w:szCs w:val="28"/>
                <w:lang w:val="en-AU"/>
              </w:rPr>
            </w:pPr>
            <w:r w:rsidRPr="32D8A4E4">
              <w:rPr>
                <w:rFonts w:eastAsiaTheme="minorEastAsia"/>
                <w:color w:val="000000"/>
                <w:szCs w:val="28"/>
                <w:lang w:val="en-AU"/>
              </w:rPr>
              <w:t>c. Increased ability to complete daily living tasks in the home independently -  does not require outside assistance</w:t>
            </w:r>
          </w:p>
        </w:tc>
      </w:tr>
      <w:tr w:rsidR="002B5543" w:rsidRPr="0023441C" w14:paraId="7090B46D" w14:textId="77777777" w:rsidTr="00B74972">
        <w:trPr>
          <w:trHeight w:val="694"/>
        </w:trPr>
        <w:tc>
          <w:tcPr>
            <w:cnfStyle w:val="001000000000" w:firstRow="0" w:lastRow="0" w:firstColumn="1" w:lastColumn="0" w:oddVBand="0" w:evenVBand="0" w:oddHBand="0" w:evenHBand="0" w:firstRowFirstColumn="0" w:firstRowLastColumn="0" w:lastRowFirstColumn="0" w:lastRowLastColumn="0"/>
            <w:tcW w:w="2127" w:type="dxa"/>
            <w:vMerge/>
            <w:hideMark/>
          </w:tcPr>
          <w:p w14:paraId="03B53C1D" w14:textId="77777777" w:rsidR="002B5543" w:rsidRPr="002A64FA" w:rsidRDefault="002B5543" w:rsidP="002A64FA">
            <w:pPr>
              <w:spacing w:before="60" w:after="60"/>
              <w:rPr>
                <w:rFonts w:ascii="Calibri" w:eastAsia="Times New Roman" w:hAnsi="Calibri" w:cs="Times New Roman"/>
                <w:bCs w:val="0"/>
                <w:color w:val="000000"/>
                <w:lang w:val="en-AU"/>
              </w:rPr>
            </w:pPr>
          </w:p>
        </w:tc>
        <w:tc>
          <w:tcPr>
            <w:tcW w:w="6672" w:type="dxa"/>
            <w:hideMark/>
          </w:tcPr>
          <w:p w14:paraId="5ACFCA4C" w14:textId="77777777" w:rsidR="002B5543" w:rsidRPr="0023441C" w:rsidRDefault="002B5543" w:rsidP="002A64FA">
            <w:pPr>
              <w:spacing w:before="60" w:after="60"/>
              <w:cnfStyle w:val="000000000000" w:firstRow="0" w:lastRow="0" w:firstColumn="0" w:lastColumn="0" w:oddVBand="0" w:evenVBand="0" w:oddHBand="0" w:evenHBand="0" w:firstRowFirstColumn="0" w:firstRowLastColumn="0" w:lastRowFirstColumn="0" w:lastRowLastColumn="0"/>
              <w:rPr>
                <w:rFonts w:eastAsiaTheme="minorEastAsia"/>
                <w:color w:val="000000"/>
                <w:szCs w:val="28"/>
                <w:lang w:val="en-AU"/>
              </w:rPr>
            </w:pPr>
            <w:r w:rsidRPr="32D8A4E4">
              <w:rPr>
                <w:rFonts w:eastAsiaTheme="minorEastAsia"/>
                <w:color w:val="000000"/>
                <w:szCs w:val="28"/>
                <w:lang w:val="en-AU"/>
              </w:rPr>
              <w:t>d. Increased ability to complete daily living tasks in the home independently -  stays in own home longer</w:t>
            </w:r>
            <w:r w:rsidRPr="32D8A4E4">
              <w:rPr>
                <w:rFonts w:eastAsiaTheme="minorEastAsia"/>
                <w:b/>
                <w:color w:val="000000"/>
                <w:szCs w:val="28"/>
                <w:lang w:val="en-AU"/>
              </w:rPr>
              <w:t xml:space="preserve"> </w:t>
            </w:r>
          </w:p>
        </w:tc>
      </w:tr>
      <w:tr w:rsidR="002B5543" w:rsidRPr="0023441C" w14:paraId="70D8A96F" w14:textId="77777777" w:rsidTr="00B74972">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tcBorders>
            <w:hideMark/>
          </w:tcPr>
          <w:p w14:paraId="7A66AC3C" w14:textId="77777777" w:rsidR="002B5543" w:rsidRPr="002A64FA" w:rsidRDefault="002B5543" w:rsidP="002A64FA">
            <w:pPr>
              <w:spacing w:before="60" w:after="60"/>
              <w:rPr>
                <w:rFonts w:ascii="Calibri" w:eastAsia="Times New Roman" w:hAnsi="Calibri" w:cs="Times New Roman"/>
                <w:bCs w:val="0"/>
                <w:color w:val="000000"/>
                <w:lang w:val="en-AU"/>
              </w:rPr>
            </w:pPr>
          </w:p>
        </w:tc>
        <w:tc>
          <w:tcPr>
            <w:tcW w:w="6672" w:type="dxa"/>
            <w:tcBorders>
              <w:top w:val="none" w:sz="0" w:space="0" w:color="auto"/>
              <w:bottom w:val="none" w:sz="0" w:space="0" w:color="auto"/>
              <w:right w:val="none" w:sz="0" w:space="0" w:color="auto"/>
            </w:tcBorders>
            <w:hideMark/>
          </w:tcPr>
          <w:p w14:paraId="4FEA76B4" w14:textId="77777777" w:rsidR="002B5543" w:rsidRPr="0023441C" w:rsidRDefault="002B5543" w:rsidP="002A64FA">
            <w:pPr>
              <w:spacing w:before="60" w:after="60"/>
              <w:cnfStyle w:val="000000100000" w:firstRow="0" w:lastRow="0" w:firstColumn="0" w:lastColumn="0" w:oddVBand="0" w:evenVBand="0" w:oddHBand="1" w:evenHBand="0" w:firstRowFirstColumn="0" w:firstRowLastColumn="0" w:lastRowFirstColumn="0" w:lastRowLastColumn="0"/>
              <w:rPr>
                <w:rFonts w:eastAsiaTheme="minorEastAsia"/>
                <w:color w:val="000000"/>
                <w:szCs w:val="28"/>
                <w:lang w:val="en-AU"/>
              </w:rPr>
            </w:pPr>
            <w:r w:rsidRPr="32D8A4E4">
              <w:rPr>
                <w:rFonts w:eastAsiaTheme="minorEastAsia"/>
                <w:color w:val="000000"/>
                <w:szCs w:val="28"/>
                <w:lang w:val="en-AU"/>
              </w:rPr>
              <w:t>e. Increased ability to complete daily living tasks in the home independently -  relies less on family members/carer</w:t>
            </w:r>
          </w:p>
        </w:tc>
      </w:tr>
      <w:tr w:rsidR="002B5543" w:rsidRPr="0023441C" w14:paraId="5584F468" w14:textId="77777777" w:rsidTr="00B74972">
        <w:trPr>
          <w:trHeight w:val="557"/>
        </w:trPr>
        <w:tc>
          <w:tcPr>
            <w:cnfStyle w:val="001000000000" w:firstRow="0" w:lastRow="0" w:firstColumn="1" w:lastColumn="0" w:oddVBand="0" w:evenVBand="0" w:oddHBand="0" w:evenHBand="0" w:firstRowFirstColumn="0" w:firstRowLastColumn="0" w:lastRowFirstColumn="0" w:lastRowLastColumn="0"/>
            <w:tcW w:w="2127" w:type="dxa"/>
            <w:vMerge w:val="restart"/>
            <w:hideMark/>
          </w:tcPr>
          <w:p w14:paraId="42E9038E" w14:textId="77777777" w:rsidR="002B5543" w:rsidRPr="002A64FA" w:rsidRDefault="002B5543" w:rsidP="002A64FA">
            <w:pPr>
              <w:spacing w:before="60" w:after="60"/>
              <w:rPr>
                <w:rFonts w:eastAsiaTheme="minorEastAsia"/>
                <w:color w:val="000000"/>
                <w:szCs w:val="28"/>
                <w:lang w:val="en-AU"/>
              </w:rPr>
            </w:pPr>
            <w:r w:rsidRPr="32D8A4E4">
              <w:rPr>
                <w:rFonts w:eastAsiaTheme="minorEastAsia"/>
                <w:color w:val="000000"/>
                <w:szCs w:val="28"/>
                <w:lang w:val="en-AU"/>
              </w:rPr>
              <w:t xml:space="preserve">2. Increased personal safety </w:t>
            </w:r>
          </w:p>
        </w:tc>
        <w:tc>
          <w:tcPr>
            <w:tcW w:w="6672" w:type="dxa"/>
            <w:hideMark/>
          </w:tcPr>
          <w:p w14:paraId="003A3EB9" w14:textId="77777777" w:rsidR="002B5543" w:rsidRPr="0023441C" w:rsidRDefault="002B5543" w:rsidP="002A64FA">
            <w:pPr>
              <w:spacing w:before="60" w:after="60"/>
              <w:cnfStyle w:val="000000000000" w:firstRow="0" w:lastRow="0" w:firstColumn="0" w:lastColumn="0" w:oddVBand="0" w:evenVBand="0" w:oddHBand="0" w:evenHBand="0" w:firstRowFirstColumn="0" w:firstRowLastColumn="0" w:lastRowFirstColumn="0" w:lastRowLastColumn="0"/>
              <w:rPr>
                <w:rFonts w:eastAsiaTheme="minorEastAsia"/>
                <w:color w:val="000000"/>
                <w:szCs w:val="28"/>
                <w:lang w:val="en-AU"/>
              </w:rPr>
            </w:pPr>
            <w:r w:rsidRPr="32D8A4E4">
              <w:rPr>
                <w:rFonts w:eastAsiaTheme="minorEastAsia"/>
                <w:color w:val="000000"/>
                <w:szCs w:val="28"/>
                <w:lang w:val="en-AU"/>
              </w:rPr>
              <w:t>a. Less likely to be injured from accidents in and outside the home and require ambulance</w:t>
            </w:r>
          </w:p>
        </w:tc>
      </w:tr>
      <w:tr w:rsidR="002B5543" w:rsidRPr="0023441C" w14:paraId="679ECCD9" w14:textId="77777777" w:rsidTr="00B74972">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tcBorders>
            <w:hideMark/>
          </w:tcPr>
          <w:p w14:paraId="68A11245" w14:textId="77777777" w:rsidR="002B5543" w:rsidRPr="002A64FA" w:rsidRDefault="002B5543" w:rsidP="002A64FA">
            <w:pPr>
              <w:spacing w:before="60" w:after="60"/>
              <w:rPr>
                <w:rFonts w:ascii="Calibri" w:eastAsia="Times New Roman" w:hAnsi="Calibri" w:cs="Times New Roman"/>
                <w:bCs w:val="0"/>
                <w:color w:val="000000"/>
                <w:lang w:val="en-AU"/>
              </w:rPr>
            </w:pPr>
          </w:p>
        </w:tc>
        <w:tc>
          <w:tcPr>
            <w:tcW w:w="6672" w:type="dxa"/>
            <w:tcBorders>
              <w:top w:val="none" w:sz="0" w:space="0" w:color="auto"/>
              <w:bottom w:val="none" w:sz="0" w:space="0" w:color="auto"/>
              <w:right w:val="none" w:sz="0" w:space="0" w:color="auto"/>
            </w:tcBorders>
            <w:hideMark/>
          </w:tcPr>
          <w:p w14:paraId="0646DD27" w14:textId="77777777" w:rsidR="002B5543" w:rsidRPr="0023441C" w:rsidRDefault="002B5543" w:rsidP="002A64FA">
            <w:pPr>
              <w:spacing w:before="60" w:after="60"/>
              <w:cnfStyle w:val="000000100000" w:firstRow="0" w:lastRow="0" w:firstColumn="0" w:lastColumn="0" w:oddVBand="0" w:evenVBand="0" w:oddHBand="1" w:evenHBand="0" w:firstRowFirstColumn="0" w:firstRowLastColumn="0" w:lastRowFirstColumn="0" w:lastRowLastColumn="0"/>
              <w:rPr>
                <w:rFonts w:eastAsiaTheme="minorEastAsia"/>
                <w:color w:val="000000"/>
                <w:szCs w:val="28"/>
                <w:lang w:val="en-AU"/>
              </w:rPr>
            </w:pPr>
            <w:r w:rsidRPr="32D8A4E4">
              <w:rPr>
                <w:rFonts w:eastAsiaTheme="minorEastAsia"/>
                <w:color w:val="000000"/>
                <w:szCs w:val="28"/>
                <w:lang w:val="en-AU"/>
              </w:rPr>
              <w:t>b. Less likely to be injured from accidents in and outside the home and require A &amp; E visit</w:t>
            </w:r>
          </w:p>
        </w:tc>
      </w:tr>
      <w:tr w:rsidR="002B5543" w:rsidRPr="0023441C" w14:paraId="1B66B5BD" w14:textId="77777777" w:rsidTr="00B74972">
        <w:trPr>
          <w:trHeight w:val="701"/>
        </w:trPr>
        <w:tc>
          <w:tcPr>
            <w:cnfStyle w:val="001000000000" w:firstRow="0" w:lastRow="0" w:firstColumn="1" w:lastColumn="0" w:oddVBand="0" w:evenVBand="0" w:oddHBand="0" w:evenHBand="0" w:firstRowFirstColumn="0" w:firstRowLastColumn="0" w:lastRowFirstColumn="0" w:lastRowLastColumn="0"/>
            <w:tcW w:w="2127" w:type="dxa"/>
            <w:vMerge/>
            <w:hideMark/>
          </w:tcPr>
          <w:p w14:paraId="52259D10" w14:textId="77777777" w:rsidR="002B5543" w:rsidRPr="002A64FA" w:rsidRDefault="002B5543" w:rsidP="002A64FA">
            <w:pPr>
              <w:spacing w:before="60" w:after="60"/>
              <w:rPr>
                <w:rFonts w:ascii="Calibri" w:eastAsia="Times New Roman" w:hAnsi="Calibri" w:cs="Times New Roman"/>
                <w:bCs w:val="0"/>
                <w:color w:val="000000"/>
                <w:lang w:val="en-AU"/>
              </w:rPr>
            </w:pPr>
          </w:p>
        </w:tc>
        <w:tc>
          <w:tcPr>
            <w:tcW w:w="6672" w:type="dxa"/>
            <w:hideMark/>
          </w:tcPr>
          <w:p w14:paraId="08074ECD" w14:textId="77777777" w:rsidR="002B5543" w:rsidRPr="0023441C" w:rsidRDefault="002B5543" w:rsidP="002A64FA">
            <w:pPr>
              <w:spacing w:before="60" w:after="60"/>
              <w:cnfStyle w:val="000000000000" w:firstRow="0" w:lastRow="0" w:firstColumn="0" w:lastColumn="0" w:oddVBand="0" w:evenVBand="0" w:oddHBand="0" w:evenHBand="0" w:firstRowFirstColumn="0" w:firstRowLastColumn="0" w:lastRowFirstColumn="0" w:lastRowLastColumn="0"/>
              <w:rPr>
                <w:rFonts w:eastAsiaTheme="minorEastAsia"/>
                <w:color w:val="000000"/>
                <w:szCs w:val="28"/>
                <w:lang w:val="en-AU"/>
              </w:rPr>
            </w:pPr>
            <w:r w:rsidRPr="32D8A4E4">
              <w:rPr>
                <w:rFonts w:eastAsiaTheme="minorEastAsia"/>
                <w:color w:val="000000"/>
                <w:szCs w:val="28"/>
                <w:lang w:val="en-AU"/>
              </w:rPr>
              <w:t>c. Less likely to be injured from accidents in and outside the home and require hospital admission</w:t>
            </w:r>
          </w:p>
        </w:tc>
      </w:tr>
      <w:tr w:rsidR="002B5543" w:rsidRPr="0023441C" w14:paraId="4C66CC4B" w14:textId="77777777" w:rsidTr="00B74972">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tcBorders>
            <w:hideMark/>
          </w:tcPr>
          <w:p w14:paraId="4E56CE07" w14:textId="77777777" w:rsidR="002B5543" w:rsidRPr="002A64FA" w:rsidRDefault="002B5543" w:rsidP="002A64FA">
            <w:pPr>
              <w:spacing w:before="60" w:after="60"/>
              <w:rPr>
                <w:rFonts w:ascii="Calibri" w:eastAsia="Times New Roman" w:hAnsi="Calibri" w:cs="Times New Roman"/>
                <w:bCs w:val="0"/>
                <w:color w:val="000000"/>
                <w:lang w:val="en-AU"/>
              </w:rPr>
            </w:pPr>
          </w:p>
        </w:tc>
        <w:tc>
          <w:tcPr>
            <w:tcW w:w="6672" w:type="dxa"/>
            <w:tcBorders>
              <w:top w:val="none" w:sz="0" w:space="0" w:color="auto"/>
              <w:bottom w:val="none" w:sz="0" w:space="0" w:color="auto"/>
              <w:right w:val="none" w:sz="0" w:space="0" w:color="auto"/>
            </w:tcBorders>
            <w:hideMark/>
          </w:tcPr>
          <w:p w14:paraId="732ACF7C" w14:textId="77777777" w:rsidR="002B5543" w:rsidRPr="0023441C" w:rsidRDefault="002B5543" w:rsidP="002A64FA">
            <w:pPr>
              <w:spacing w:before="60" w:after="60"/>
              <w:cnfStyle w:val="000000100000" w:firstRow="0" w:lastRow="0" w:firstColumn="0" w:lastColumn="0" w:oddVBand="0" w:evenVBand="0" w:oddHBand="1" w:evenHBand="0" w:firstRowFirstColumn="0" w:firstRowLastColumn="0" w:lastRowFirstColumn="0" w:lastRowLastColumn="0"/>
              <w:rPr>
                <w:rFonts w:eastAsiaTheme="minorEastAsia"/>
                <w:color w:val="000000"/>
                <w:szCs w:val="28"/>
                <w:lang w:val="en-AU"/>
              </w:rPr>
            </w:pPr>
            <w:r w:rsidRPr="32D8A4E4">
              <w:rPr>
                <w:rFonts w:eastAsiaTheme="minorEastAsia"/>
                <w:color w:val="000000"/>
                <w:szCs w:val="28"/>
                <w:lang w:val="en-AU"/>
              </w:rPr>
              <w:t>d. Less likely to be injured from accidents in and outside the home and require follow-up care for injury i.e. by GP</w:t>
            </w:r>
            <w:r w:rsidRPr="32D8A4E4">
              <w:rPr>
                <w:rFonts w:eastAsiaTheme="minorEastAsia"/>
                <w:b/>
                <w:color w:val="000000"/>
                <w:szCs w:val="28"/>
                <w:lang w:val="en-AU"/>
              </w:rPr>
              <w:t xml:space="preserve"> </w:t>
            </w:r>
          </w:p>
        </w:tc>
      </w:tr>
      <w:tr w:rsidR="002B5543" w:rsidRPr="0023441C" w14:paraId="4DC079B1" w14:textId="77777777" w:rsidTr="00B74972">
        <w:trPr>
          <w:trHeight w:val="479"/>
        </w:trPr>
        <w:tc>
          <w:tcPr>
            <w:cnfStyle w:val="001000000000" w:firstRow="0" w:lastRow="0" w:firstColumn="1" w:lastColumn="0" w:oddVBand="0" w:evenVBand="0" w:oddHBand="0" w:evenHBand="0" w:firstRowFirstColumn="0" w:firstRowLastColumn="0" w:lastRowFirstColumn="0" w:lastRowLastColumn="0"/>
            <w:tcW w:w="2127" w:type="dxa"/>
            <w:vMerge w:val="restart"/>
            <w:hideMark/>
          </w:tcPr>
          <w:p w14:paraId="1EB84A04" w14:textId="77777777" w:rsidR="002B5543" w:rsidRPr="002A64FA" w:rsidRDefault="002B5543" w:rsidP="002A64FA">
            <w:pPr>
              <w:spacing w:before="60" w:after="60"/>
              <w:rPr>
                <w:rFonts w:eastAsiaTheme="minorEastAsia"/>
                <w:color w:val="000000"/>
                <w:szCs w:val="28"/>
                <w:lang w:val="en-AU"/>
              </w:rPr>
            </w:pPr>
            <w:r w:rsidRPr="32D8A4E4">
              <w:rPr>
                <w:rFonts w:eastAsiaTheme="minorEastAsia"/>
                <w:color w:val="000000"/>
                <w:szCs w:val="28"/>
                <w:lang w:val="en-AU"/>
              </w:rPr>
              <w:t xml:space="preserve">3. Improved emotional wellbeing </w:t>
            </w:r>
          </w:p>
        </w:tc>
        <w:tc>
          <w:tcPr>
            <w:tcW w:w="6672" w:type="dxa"/>
            <w:hideMark/>
          </w:tcPr>
          <w:p w14:paraId="1EFC3D18" w14:textId="77777777" w:rsidR="002B5543" w:rsidRPr="0023441C" w:rsidRDefault="002B5543" w:rsidP="002A64FA">
            <w:pPr>
              <w:spacing w:before="60" w:after="60"/>
              <w:cnfStyle w:val="000000000000" w:firstRow="0" w:lastRow="0" w:firstColumn="0" w:lastColumn="0" w:oddVBand="0" w:evenVBand="0" w:oddHBand="0" w:evenHBand="0" w:firstRowFirstColumn="0" w:firstRowLastColumn="0" w:lastRowFirstColumn="0" w:lastRowLastColumn="0"/>
              <w:rPr>
                <w:rFonts w:eastAsiaTheme="minorEastAsia"/>
                <w:color w:val="000000"/>
                <w:szCs w:val="28"/>
                <w:lang w:val="en-AU"/>
              </w:rPr>
            </w:pPr>
            <w:r w:rsidRPr="32D8A4E4">
              <w:rPr>
                <w:rFonts w:eastAsiaTheme="minorEastAsia"/>
                <w:color w:val="000000"/>
                <w:szCs w:val="28"/>
                <w:lang w:val="en-AU"/>
              </w:rPr>
              <w:t xml:space="preserve">a. Increased level of acceptance of vision impairment condition </w:t>
            </w:r>
          </w:p>
        </w:tc>
      </w:tr>
      <w:tr w:rsidR="002B5543" w:rsidRPr="0023441C" w14:paraId="6C9761D1" w14:textId="77777777" w:rsidTr="00B74972">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tcBorders>
            <w:hideMark/>
          </w:tcPr>
          <w:p w14:paraId="6C094913" w14:textId="77777777" w:rsidR="002B5543" w:rsidRPr="002A64FA" w:rsidRDefault="002B5543" w:rsidP="002A64FA">
            <w:pPr>
              <w:spacing w:before="60" w:after="60"/>
              <w:rPr>
                <w:rFonts w:ascii="Calibri" w:eastAsia="Times New Roman" w:hAnsi="Calibri" w:cs="Times New Roman"/>
                <w:bCs w:val="0"/>
                <w:color w:val="000000"/>
                <w:lang w:val="en-AU"/>
              </w:rPr>
            </w:pPr>
          </w:p>
        </w:tc>
        <w:tc>
          <w:tcPr>
            <w:tcW w:w="6672" w:type="dxa"/>
            <w:tcBorders>
              <w:top w:val="none" w:sz="0" w:space="0" w:color="auto"/>
              <w:bottom w:val="none" w:sz="0" w:space="0" w:color="auto"/>
              <w:right w:val="none" w:sz="0" w:space="0" w:color="auto"/>
            </w:tcBorders>
            <w:hideMark/>
          </w:tcPr>
          <w:p w14:paraId="3B454C92" w14:textId="16CE3E34" w:rsidR="002B5543" w:rsidRPr="0023441C" w:rsidRDefault="002B5543" w:rsidP="002A64FA">
            <w:pPr>
              <w:spacing w:before="60" w:after="60"/>
              <w:cnfStyle w:val="000000100000" w:firstRow="0" w:lastRow="0" w:firstColumn="0" w:lastColumn="0" w:oddVBand="0" w:evenVBand="0" w:oddHBand="1" w:evenHBand="0" w:firstRowFirstColumn="0" w:firstRowLastColumn="0" w:lastRowFirstColumn="0" w:lastRowLastColumn="0"/>
              <w:rPr>
                <w:rFonts w:eastAsiaTheme="minorEastAsia"/>
                <w:color w:val="000000"/>
                <w:szCs w:val="28"/>
                <w:lang w:val="en-AU"/>
              </w:rPr>
            </w:pPr>
            <w:r w:rsidRPr="32D8A4E4">
              <w:rPr>
                <w:rFonts w:eastAsiaTheme="minorEastAsia"/>
                <w:color w:val="000000"/>
                <w:szCs w:val="28"/>
                <w:lang w:val="en-AU"/>
              </w:rPr>
              <w:t>b. Increased confidence completing daily living tasks independently</w:t>
            </w:r>
          </w:p>
        </w:tc>
      </w:tr>
      <w:tr w:rsidR="002B5543" w:rsidRPr="0023441C" w14:paraId="39FA7399" w14:textId="77777777" w:rsidTr="00B74972">
        <w:trPr>
          <w:trHeight w:val="342"/>
        </w:trPr>
        <w:tc>
          <w:tcPr>
            <w:cnfStyle w:val="001000000000" w:firstRow="0" w:lastRow="0" w:firstColumn="1" w:lastColumn="0" w:oddVBand="0" w:evenVBand="0" w:oddHBand="0" w:evenHBand="0" w:firstRowFirstColumn="0" w:firstRowLastColumn="0" w:lastRowFirstColumn="0" w:lastRowLastColumn="0"/>
            <w:tcW w:w="2127" w:type="dxa"/>
            <w:vMerge/>
            <w:hideMark/>
          </w:tcPr>
          <w:p w14:paraId="06907488" w14:textId="77777777" w:rsidR="002B5543" w:rsidRPr="002A64FA" w:rsidRDefault="002B5543" w:rsidP="002A64FA">
            <w:pPr>
              <w:spacing w:before="60" w:after="60"/>
              <w:rPr>
                <w:rFonts w:ascii="Calibri" w:eastAsia="Times New Roman" w:hAnsi="Calibri" w:cs="Times New Roman"/>
                <w:bCs w:val="0"/>
                <w:color w:val="000000"/>
                <w:lang w:val="en-AU"/>
              </w:rPr>
            </w:pPr>
          </w:p>
        </w:tc>
        <w:tc>
          <w:tcPr>
            <w:tcW w:w="6672" w:type="dxa"/>
            <w:hideMark/>
          </w:tcPr>
          <w:p w14:paraId="6ED34491" w14:textId="79B15868" w:rsidR="002B5543" w:rsidRPr="0023441C" w:rsidRDefault="002B5543" w:rsidP="002A64FA">
            <w:pPr>
              <w:spacing w:before="60" w:after="60"/>
              <w:cnfStyle w:val="000000000000" w:firstRow="0" w:lastRow="0" w:firstColumn="0" w:lastColumn="0" w:oddVBand="0" w:evenVBand="0" w:oddHBand="0" w:evenHBand="0" w:firstRowFirstColumn="0" w:firstRowLastColumn="0" w:lastRowFirstColumn="0" w:lastRowLastColumn="0"/>
              <w:rPr>
                <w:rFonts w:eastAsiaTheme="minorEastAsia"/>
                <w:color w:val="000000"/>
                <w:szCs w:val="28"/>
                <w:lang w:val="en-AU"/>
              </w:rPr>
            </w:pPr>
            <w:r w:rsidRPr="32D8A4E4">
              <w:rPr>
                <w:rFonts w:eastAsiaTheme="minorEastAsia"/>
                <w:color w:val="000000"/>
                <w:szCs w:val="28"/>
                <w:lang w:val="en-AU"/>
              </w:rPr>
              <w:t>c.  Increased feelings of dignity (esp. regarding eating)</w:t>
            </w:r>
          </w:p>
        </w:tc>
      </w:tr>
      <w:tr w:rsidR="002B5543" w:rsidRPr="0023441C" w14:paraId="3A78BE8D" w14:textId="77777777" w:rsidTr="00B74972">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tcBorders>
            <w:hideMark/>
          </w:tcPr>
          <w:p w14:paraId="58319769" w14:textId="77777777" w:rsidR="002B5543" w:rsidRPr="002A64FA" w:rsidRDefault="002B5543" w:rsidP="002A64FA">
            <w:pPr>
              <w:spacing w:before="60" w:after="60"/>
              <w:rPr>
                <w:rFonts w:ascii="Calibri" w:eastAsia="Times New Roman" w:hAnsi="Calibri" w:cs="Times New Roman"/>
                <w:bCs w:val="0"/>
                <w:color w:val="000000"/>
                <w:lang w:val="en-AU"/>
              </w:rPr>
            </w:pPr>
          </w:p>
        </w:tc>
        <w:tc>
          <w:tcPr>
            <w:tcW w:w="6672" w:type="dxa"/>
            <w:tcBorders>
              <w:top w:val="none" w:sz="0" w:space="0" w:color="auto"/>
              <w:bottom w:val="none" w:sz="0" w:space="0" w:color="auto"/>
              <w:right w:val="none" w:sz="0" w:space="0" w:color="auto"/>
            </w:tcBorders>
            <w:hideMark/>
          </w:tcPr>
          <w:p w14:paraId="018A8764" w14:textId="239993D4" w:rsidR="002B5543" w:rsidRPr="0023441C" w:rsidRDefault="002B5543" w:rsidP="002A64FA">
            <w:pPr>
              <w:spacing w:before="60" w:after="60"/>
              <w:cnfStyle w:val="000000100000" w:firstRow="0" w:lastRow="0" w:firstColumn="0" w:lastColumn="0" w:oddVBand="0" w:evenVBand="0" w:oddHBand="1" w:evenHBand="0" w:firstRowFirstColumn="0" w:firstRowLastColumn="0" w:lastRowFirstColumn="0" w:lastRowLastColumn="0"/>
              <w:rPr>
                <w:rFonts w:eastAsiaTheme="minorEastAsia"/>
                <w:color w:val="000000"/>
                <w:szCs w:val="28"/>
                <w:lang w:val="en-AU"/>
              </w:rPr>
            </w:pPr>
            <w:r w:rsidRPr="32D8A4E4">
              <w:rPr>
                <w:rFonts w:eastAsiaTheme="minorEastAsia"/>
                <w:color w:val="000000"/>
                <w:szCs w:val="28"/>
                <w:lang w:val="en-AU"/>
              </w:rPr>
              <w:t xml:space="preserve">d. Increased levels of enjoyment in leisure time </w:t>
            </w:r>
          </w:p>
        </w:tc>
      </w:tr>
      <w:tr w:rsidR="002B5543" w:rsidRPr="0023441C" w14:paraId="12E347FA" w14:textId="77777777" w:rsidTr="00B74972">
        <w:trPr>
          <w:trHeight w:val="286"/>
        </w:trPr>
        <w:tc>
          <w:tcPr>
            <w:cnfStyle w:val="001000000000" w:firstRow="0" w:lastRow="0" w:firstColumn="1" w:lastColumn="0" w:oddVBand="0" w:evenVBand="0" w:oddHBand="0" w:evenHBand="0" w:firstRowFirstColumn="0" w:firstRowLastColumn="0" w:lastRowFirstColumn="0" w:lastRowLastColumn="0"/>
            <w:tcW w:w="2127" w:type="dxa"/>
            <w:vMerge/>
            <w:hideMark/>
          </w:tcPr>
          <w:p w14:paraId="4532FC0B" w14:textId="77777777" w:rsidR="002B5543" w:rsidRPr="002A64FA" w:rsidRDefault="002B5543" w:rsidP="002A64FA">
            <w:pPr>
              <w:spacing w:before="60" w:after="60"/>
              <w:rPr>
                <w:rFonts w:ascii="Calibri" w:eastAsia="Times New Roman" w:hAnsi="Calibri" w:cs="Times New Roman"/>
                <w:bCs w:val="0"/>
                <w:color w:val="000000"/>
                <w:lang w:val="en-AU"/>
              </w:rPr>
            </w:pPr>
          </w:p>
        </w:tc>
        <w:tc>
          <w:tcPr>
            <w:tcW w:w="6672" w:type="dxa"/>
            <w:hideMark/>
          </w:tcPr>
          <w:p w14:paraId="4FFC089D" w14:textId="55C90435" w:rsidR="002B5543" w:rsidRPr="0023441C" w:rsidRDefault="002B5543" w:rsidP="002A64FA">
            <w:pPr>
              <w:spacing w:before="60" w:after="60"/>
              <w:cnfStyle w:val="000000000000" w:firstRow="0" w:lastRow="0" w:firstColumn="0" w:lastColumn="0" w:oddVBand="0" w:evenVBand="0" w:oddHBand="0" w:evenHBand="0" w:firstRowFirstColumn="0" w:firstRowLastColumn="0" w:lastRowFirstColumn="0" w:lastRowLastColumn="0"/>
              <w:rPr>
                <w:rFonts w:eastAsiaTheme="minorEastAsia"/>
                <w:color w:val="000000"/>
                <w:szCs w:val="28"/>
                <w:lang w:val="en-AU"/>
              </w:rPr>
            </w:pPr>
            <w:r w:rsidRPr="32D8A4E4">
              <w:rPr>
                <w:rFonts w:eastAsiaTheme="minorEastAsia"/>
                <w:color w:val="000000"/>
                <w:szCs w:val="28"/>
                <w:lang w:val="en-AU"/>
              </w:rPr>
              <w:t xml:space="preserve">e. Increased sense or feeling of safety </w:t>
            </w:r>
          </w:p>
        </w:tc>
      </w:tr>
      <w:tr w:rsidR="002B5543" w:rsidRPr="0023441C" w14:paraId="2E98E58B" w14:textId="77777777" w:rsidTr="00B74972">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127" w:type="dxa"/>
            <w:vMerge w:val="restart"/>
            <w:tcBorders>
              <w:top w:val="none" w:sz="0" w:space="0" w:color="auto"/>
              <w:left w:val="none" w:sz="0" w:space="0" w:color="auto"/>
              <w:bottom w:val="none" w:sz="0" w:space="0" w:color="auto"/>
            </w:tcBorders>
            <w:hideMark/>
          </w:tcPr>
          <w:p w14:paraId="344D0C9A" w14:textId="39F720FD" w:rsidR="002B5543" w:rsidRPr="002A64FA" w:rsidRDefault="002B5543" w:rsidP="002A64FA">
            <w:pPr>
              <w:spacing w:before="60" w:after="60"/>
              <w:rPr>
                <w:rFonts w:eastAsiaTheme="minorEastAsia"/>
                <w:color w:val="000000"/>
                <w:szCs w:val="28"/>
                <w:lang w:val="en-AU"/>
              </w:rPr>
            </w:pPr>
            <w:r w:rsidRPr="32D8A4E4">
              <w:rPr>
                <w:rFonts w:eastAsiaTheme="minorEastAsia"/>
                <w:color w:val="000000"/>
                <w:szCs w:val="28"/>
                <w:lang w:val="en-AU"/>
              </w:rPr>
              <w:t xml:space="preserve">4. Decreased social isolation </w:t>
            </w:r>
          </w:p>
        </w:tc>
        <w:tc>
          <w:tcPr>
            <w:tcW w:w="6672" w:type="dxa"/>
            <w:tcBorders>
              <w:top w:val="none" w:sz="0" w:space="0" w:color="auto"/>
              <w:bottom w:val="none" w:sz="0" w:space="0" w:color="auto"/>
              <w:right w:val="none" w:sz="0" w:space="0" w:color="auto"/>
            </w:tcBorders>
            <w:hideMark/>
          </w:tcPr>
          <w:p w14:paraId="0AE92E10" w14:textId="77777777" w:rsidR="002B5543" w:rsidRPr="0023441C" w:rsidRDefault="002B5543" w:rsidP="002A64FA">
            <w:pPr>
              <w:spacing w:before="60" w:after="60"/>
              <w:cnfStyle w:val="000000100000" w:firstRow="0" w:lastRow="0" w:firstColumn="0" w:lastColumn="0" w:oddVBand="0" w:evenVBand="0" w:oddHBand="1" w:evenHBand="0" w:firstRowFirstColumn="0" w:firstRowLastColumn="0" w:lastRowFirstColumn="0" w:lastRowLastColumn="0"/>
              <w:rPr>
                <w:rFonts w:eastAsiaTheme="minorEastAsia"/>
                <w:color w:val="000000"/>
                <w:szCs w:val="28"/>
                <w:lang w:val="en-AU"/>
              </w:rPr>
            </w:pPr>
            <w:r w:rsidRPr="32D8A4E4">
              <w:rPr>
                <w:rFonts w:eastAsiaTheme="minorEastAsia"/>
                <w:color w:val="000000"/>
                <w:szCs w:val="28"/>
                <w:lang w:val="en-AU"/>
              </w:rPr>
              <w:t xml:space="preserve">a. Service user has increased contact with people in the community, networks and friends </w:t>
            </w:r>
          </w:p>
        </w:tc>
      </w:tr>
      <w:tr w:rsidR="002B5543" w:rsidRPr="0023441C" w14:paraId="46A22444" w14:textId="77777777" w:rsidTr="00B74972">
        <w:trPr>
          <w:trHeight w:val="651"/>
        </w:trPr>
        <w:tc>
          <w:tcPr>
            <w:cnfStyle w:val="001000000000" w:firstRow="0" w:lastRow="0" w:firstColumn="1" w:lastColumn="0" w:oddVBand="0" w:evenVBand="0" w:oddHBand="0" w:evenHBand="0" w:firstRowFirstColumn="0" w:firstRowLastColumn="0" w:lastRowFirstColumn="0" w:lastRowLastColumn="0"/>
            <w:tcW w:w="2127" w:type="dxa"/>
            <w:vMerge/>
            <w:hideMark/>
          </w:tcPr>
          <w:p w14:paraId="3AAAD525" w14:textId="77777777" w:rsidR="002B5543" w:rsidRPr="0023441C" w:rsidRDefault="002B5543" w:rsidP="002A64FA">
            <w:pPr>
              <w:spacing w:before="60" w:after="60"/>
              <w:rPr>
                <w:rFonts w:ascii="Calibri" w:eastAsia="Times New Roman" w:hAnsi="Calibri" w:cs="Times New Roman"/>
                <w:b w:val="0"/>
                <w:bCs w:val="0"/>
                <w:color w:val="000000"/>
                <w:lang w:val="en-AU"/>
              </w:rPr>
            </w:pPr>
          </w:p>
        </w:tc>
        <w:tc>
          <w:tcPr>
            <w:tcW w:w="6672" w:type="dxa"/>
            <w:hideMark/>
          </w:tcPr>
          <w:p w14:paraId="46BFC981" w14:textId="77777777" w:rsidR="002B5543" w:rsidRPr="0023441C" w:rsidRDefault="002B5543" w:rsidP="002A64FA">
            <w:pPr>
              <w:spacing w:before="60" w:after="60"/>
              <w:cnfStyle w:val="000000000000" w:firstRow="0" w:lastRow="0" w:firstColumn="0" w:lastColumn="0" w:oddVBand="0" w:evenVBand="0" w:oddHBand="0" w:evenHBand="0" w:firstRowFirstColumn="0" w:firstRowLastColumn="0" w:lastRowFirstColumn="0" w:lastRowLastColumn="0"/>
              <w:rPr>
                <w:rFonts w:eastAsiaTheme="minorEastAsia"/>
                <w:color w:val="000000"/>
                <w:szCs w:val="28"/>
                <w:lang w:val="en-AU"/>
              </w:rPr>
            </w:pPr>
            <w:r w:rsidRPr="32D8A4E4">
              <w:rPr>
                <w:rFonts w:eastAsiaTheme="minorEastAsia"/>
                <w:color w:val="000000"/>
                <w:szCs w:val="28"/>
                <w:lang w:val="en-AU"/>
              </w:rPr>
              <w:t>b. Service user has improved ability to use communications technology i.e. telephone, computer</w:t>
            </w:r>
          </w:p>
        </w:tc>
      </w:tr>
    </w:tbl>
    <w:p w14:paraId="3B9BFC3C" w14:textId="77777777" w:rsidR="002B5543" w:rsidRPr="00BD509C" w:rsidRDefault="002B5543" w:rsidP="00BD509C"/>
    <w:p w14:paraId="2683E476" w14:textId="7BBE1FD5" w:rsidR="002B5543" w:rsidRDefault="002B5543" w:rsidP="00AF32EE">
      <w:pPr>
        <w:rPr>
          <w:rFonts w:eastAsiaTheme="minorEastAsia"/>
          <w:szCs w:val="28"/>
          <w:lang w:eastAsia="en-GB"/>
        </w:rPr>
      </w:pPr>
      <w:r w:rsidRPr="32D8A4E4">
        <w:rPr>
          <w:rFonts w:eastAsiaTheme="minorEastAsia"/>
          <w:szCs w:val="28"/>
          <w:lang w:eastAsia="en-GB"/>
        </w:rPr>
        <w:t>The outcomes have been categorised in this way to enable us to assign financial values to the benefits experienced as a result of vision rehabilitation, however an outcome is often interrelated with another. For example, gaining functional independence such as being able to walk to the local shop using a long cane often has knock-on impacts such as improved emotional wellbeing (feeling happier and more confident), social participation (being able to meet and interact with people outside the home), and personal safety (travelling with the knowledge needed to avoid accidents and dangers such as busy roads).</w:t>
      </w:r>
    </w:p>
    <w:p w14:paraId="5504BA59" w14:textId="5C99FD50" w:rsidR="002B5543" w:rsidRDefault="002B5543" w:rsidP="0070595B">
      <w:pPr>
        <w:rPr>
          <w:rFonts w:eastAsiaTheme="minorEastAsia"/>
          <w:b/>
          <w:szCs w:val="28"/>
        </w:rPr>
      </w:pPr>
      <w:r w:rsidRPr="32D8A4E4">
        <w:rPr>
          <w:rFonts w:eastAsiaTheme="minorEastAsia"/>
          <w:b/>
          <w:szCs w:val="28"/>
        </w:rPr>
        <w:t>“I stop and talk to people now, lots of people want to help when they see the stick and I don’t feel embarrassed to talk to them. My case worker was invaluable, she broke down my embarrassment.” – Service user</w:t>
      </w:r>
    </w:p>
    <w:p w14:paraId="1A97D3C3" w14:textId="77777777" w:rsidR="002B5543" w:rsidRPr="0070595B" w:rsidRDefault="002B5543" w:rsidP="0070595B">
      <w:pPr>
        <w:rPr>
          <w:b/>
        </w:rPr>
      </w:pPr>
    </w:p>
    <w:p w14:paraId="292BA34F" w14:textId="1D987C47" w:rsidR="002B5543" w:rsidRPr="00466977" w:rsidRDefault="002B5543" w:rsidP="0070595B">
      <w:pPr>
        <w:rPr>
          <w:lang w:eastAsia="en-GB"/>
        </w:rPr>
      </w:pPr>
      <w:r>
        <w:rPr>
          <w:lang w:eastAsia="en-GB"/>
        </w:rPr>
        <w:t>On the other hand, for some service users, the impacts are very tangible and specific in nature, such as being able to see the food they are eating for dinner using special lighting, being able to read their mail using a magnifier, or being able to operate the kettle and pour a drink safely.</w:t>
      </w:r>
    </w:p>
    <w:p w14:paraId="0D540EE0" w14:textId="6679F39A" w:rsidR="002B5543" w:rsidRDefault="002B5543" w:rsidP="0070595B">
      <w:pPr>
        <w:rPr>
          <w:b/>
        </w:rPr>
      </w:pPr>
      <w:r w:rsidRPr="0070595B">
        <w:rPr>
          <w:b/>
        </w:rPr>
        <w:t>“I have a lamp. I have a job eating my dinner because I can’t see what I’m eating so I put my lamp on and that does help me. I use it for lots of other things too. I use it to change the batteries in my hearing aid. I have terrible trouble with that otherwise. I use it for all sorts of things.” – Service user</w:t>
      </w:r>
    </w:p>
    <w:p w14:paraId="6F834198" w14:textId="77777777" w:rsidR="002B5543" w:rsidRPr="00BD509C" w:rsidRDefault="002B5543" w:rsidP="00BD509C"/>
    <w:p w14:paraId="14C5C1F4" w14:textId="23DFA20A" w:rsidR="002B5543" w:rsidRDefault="002B5543" w:rsidP="00AF32EE">
      <w:r>
        <w:t>Some of the professionals we interviewed described their role in providing service users with skills to enable greater independence as being a key factor in enabling outcomes:</w:t>
      </w:r>
    </w:p>
    <w:p w14:paraId="6C01A5C0" w14:textId="5E27D1AA" w:rsidR="002B5543" w:rsidRDefault="002B5543" w:rsidP="0070595B">
      <w:pPr>
        <w:rPr>
          <w:b/>
        </w:rPr>
      </w:pPr>
      <w:r w:rsidRPr="0070595B">
        <w:rPr>
          <w:b/>
        </w:rPr>
        <w:t xml:space="preserve">“What makes these outcomes possible is that it’s about delivering a skill rather than just knowledge. It’s about training rather than telling. And it’s done in a way that means the person has to own it for themselves. There are some things where it could be tempting to do things for them, but that’s not the principle of the service. The principle is giving them skills to enable them to do things.” </w:t>
      </w:r>
      <w:r>
        <w:rPr>
          <w:b/>
        </w:rPr>
        <w:t>–</w:t>
      </w:r>
      <w:r w:rsidRPr="0070595B">
        <w:rPr>
          <w:b/>
        </w:rPr>
        <w:t xml:space="preserve"> Professional</w:t>
      </w:r>
    </w:p>
    <w:p w14:paraId="26285D81" w14:textId="77777777" w:rsidR="002B5543" w:rsidRPr="0070595B" w:rsidRDefault="002B5543" w:rsidP="0070595B">
      <w:pPr>
        <w:rPr>
          <w:b/>
          <w:lang w:eastAsia="en-GB"/>
        </w:rPr>
      </w:pPr>
    </w:p>
    <w:p w14:paraId="15424735" w14:textId="69D9E4C9" w:rsidR="002B5543" w:rsidRDefault="002B5543" w:rsidP="00AF32EE">
      <w:pPr>
        <w:rPr>
          <w:lang w:eastAsia="en-GB"/>
        </w:rPr>
      </w:pPr>
      <w:r>
        <w:rPr>
          <w:lang w:eastAsia="en-GB"/>
        </w:rPr>
        <w:t>Perhaps this is why some of the service users we interviewed felt that their own determination and strength of character made a significant contribution to the outcomes they experienced, in addition to the specific training and support they receive from the vision rehabilitation service – because the service actively encourages and supports people to own the change themselves.</w:t>
      </w:r>
    </w:p>
    <w:p w14:paraId="672AF0BF" w14:textId="77777777" w:rsidR="002B5543" w:rsidRDefault="002B5543" w:rsidP="00AF32EE">
      <w:pPr>
        <w:rPr>
          <w:lang w:eastAsia="en-GB"/>
        </w:rPr>
      </w:pPr>
    </w:p>
    <w:p w14:paraId="350C0046" w14:textId="6A911689" w:rsidR="002B5543" w:rsidRDefault="002B5543" w:rsidP="003B287A">
      <w:pPr>
        <w:pStyle w:val="Heading4"/>
        <w:rPr>
          <w:lang w:eastAsia="en-GB"/>
        </w:rPr>
      </w:pPr>
      <w:r>
        <w:rPr>
          <w:lang w:eastAsia="en-GB"/>
        </w:rPr>
        <w:t xml:space="preserve">Outcomes by service user group </w:t>
      </w:r>
    </w:p>
    <w:p w14:paraId="24EA5FEF" w14:textId="555D7674" w:rsidR="002B5543" w:rsidRDefault="002B5543" w:rsidP="00EB3A56">
      <w:pPr>
        <w:rPr>
          <w:lang w:eastAsia="en-GB"/>
        </w:rPr>
      </w:pPr>
      <w:r>
        <w:rPr>
          <w:lang w:eastAsia="en-GB"/>
        </w:rPr>
        <w:t>There was overlap in the types of outcomes experienced by the two groups of service users interviewed, largely because most service users in Group 1 (who had experienced in-depth rehabilitation) also received equipment of some kind from Sight for Surrey during their vision rehabilitation, while some individuals from Group 2 (who received equipment following a specialist assessment) had received in-depth rehabilitation at an earlier date. Furthermore, because the support provided is bespoke according to each individual’s needs, two individuals may experience the same outcome as a result of different types of support.</w:t>
      </w:r>
    </w:p>
    <w:p w14:paraId="7D962CC9" w14:textId="77777777" w:rsidR="002B5543" w:rsidRDefault="002B5543" w:rsidP="00EB3A56">
      <w:pPr>
        <w:rPr>
          <w:lang w:eastAsia="en-GB"/>
        </w:rPr>
      </w:pPr>
    </w:p>
    <w:p w14:paraId="6AA5E414" w14:textId="68432B21" w:rsidR="002B5543" w:rsidRDefault="002B5543" w:rsidP="00EB3A56">
      <w:pPr>
        <w:rPr>
          <w:lang w:eastAsia="en-GB"/>
        </w:rPr>
      </w:pPr>
      <w:r>
        <w:rPr>
          <w:lang w:eastAsia="en-GB"/>
        </w:rPr>
        <w:t xml:space="preserve">As a result, there was little difference in the types of outcomes experienced by the service users in the Group 1 and 2 sub-samples. There did however appear to be a difference in the outcomes and benefits experienced by service users of </w:t>
      </w:r>
      <w:r w:rsidRPr="003B287A">
        <w:rPr>
          <w:i/>
          <w:lang w:eastAsia="en-GB"/>
        </w:rPr>
        <w:t>different ages</w:t>
      </w:r>
      <w:r>
        <w:rPr>
          <w:lang w:eastAsia="en-GB"/>
        </w:rPr>
        <w:t xml:space="preserve">. </w:t>
      </w:r>
    </w:p>
    <w:p w14:paraId="73DA8CD8" w14:textId="77777777" w:rsidR="002B5543" w:rsidRDefault="002B5543" w:rsidP="00EB3A56">
      <w:pPr>
        <w:rPr>
          <w:lang w:eastAsia="en-GB"/>
        </w:rPr>
      </w:pPr>
    </w:p>
    <w:p w14:paraId="4FFA7606" w14:textId="248A3A66" w:rsidR="002B5543" w:rsidRDefault="002B5543" w:rsidP="00EB3A56">
      <w:pPr>
        <w:rPr>
          <w:lang w:eastAsia="en-GB"/>
        </w:rPr>
      </w:pPr>
      <w:r>
        <w:t>We heard from interviews (both with professionals and service users themselves) that service users in the over 65 age range, especially at the older end of the range, found most benefit from daily living skills sessions and equipment that gave them some independence in tasks around their homes. Service users under 65, were more likely to emphasise the role of mobility and communication training in the improvements they experience as a result of the vision rehabilitation. This information from our primary research was used to make assumptions and estimations about the proportion of service users who experience different outcomes.</w:t>
      </w:r>
    </w:p>
    <w:p w14:paraId="6BF9E316" w14:textId="1E362560" w:rsidR="002B5543" w:rsidRDefault="002B5543" w:rsidP="00EB3A56">
      <w:pPr>
        <w:pStyle w:val="Heading4"/>
        <w:rPr>
          <w:lang w:eastAsia="en-GB"/>
        </w:rPr>
      </w:pPr>
      <w:r>
        <w:rPr>
          <w:lang w:eastAsia="en-GB"/>
        </w:rPr>
        <w:t xml:space="preserve">Non-immediate, indirect impacts </w:t>
      </w:r>
    </w:p>
    <w:p w14:paraId="6C89A48C" w14:textId="6A313B8F" w:rsidR="002B5543" w:rsidRDefault="002B5543" w:rsidP="00EB3A56">
      <w:pPr>
        <w:rPr>
          <w:lang w:eastAsia="en-GB"/>
        </w:rPr>
      </w:pPr>
      <w:r>
        <w:rPr>
          <w:lang w:eastAsia="en-GB"/>
        </w:rPr>
        <w:t>We have focused mainly on immediately attributable impacts, but it is important to note the potential for further follow-on impacts to arise partly as a result of vision rehabilitation. For example, some of the outcomes are task-orientated so they can be clearly attributed to the vision rehabilitation support e.g. ability to operate a microwave safely to cook a hot meal. However, in the long-term it is feasible that this same individual would be better able to manage their nutrition as a result of this skill, and is less likely to be malnourished or fall ill. These potential outcomes are harder to measure and the strength of attribution is limited and questionable, therefore we have not included them when assigning financial values to outcomes.</w:t>
      </w:r>
    </w:p>
    <w:p w14:paraId="0F9D6852" w14:textId="04991BE8" w:rsidR="002B5543" w:rsidRDefault="002B5543" w:rsidP="003B287A">
      <w:pPr>
        <w:pStyle w:val="Heading3"/>
        <w:rPr>
          <w:lang w:eastAsia="en-GB"/>
        </w:rPr>
      </w:pPr>
      <w:r>
        <w:rPr>
          <w:lang w:eastAsia="en-GB"/>
        </w:rPr>
        <w:t xml:space="preserve">Outcomes for family members and carers of service users </w:t>
      </w:r>
    </w:p>
    <w:p w14:paraId="041779F7" w14:textId="468B8CA8" w:rsidR="002B5543" w:rsidRDefault="002B5543" w:rsidP="00AF32EE">
      <w:pPr>
        <w:rPr>
          <w:lang w:eastAsia="en-GB"/>
        </w:rPr>
      </w:pPr>
      <w:r>
        <w:rPr>
          <w:lang w:eastAsia="en-GB"/>
        </w:rPr>
        <w:t xml:space="preserve">In addition to impacts on the service users themselves, there are wider impacts for family members and carers. The main direct outcomes for the family and carers of clients are shown in Table 4 and include: </w:t>
      </w:r>
    </w:p>
    <w:p w14:paraId="1DF48EE0" w14:textId="2550A741" w:rsidR="002B5543" w:rsidRDefault="002B5543" w:rsidP="006D255A">
      <w:pPr>
        <w:pStyle w:val="ListParagraph"/>
        <w:rPr>
          <w:lang w:eastAsia="en-GB"/>
        </w:rPr>
      </w:pPr>
      <w:r>
        <w:rPr>
          <w:lang w:eastAsia="en-GB"/>
        </w:rPr>
        <w:t xml:space="preserve">A reduction in the burden associated with providing informal care, such as the need to reduce hours in employment or spend additional money on care-related expenses such as travel. </w:t>
      </w:r>
    </w:p>
    <w:p w14:paraId="61E8FB0C" w14:textId="19B5A7E5" w:rsidR="002B5543" w:rsidRDefault="002B5543" w:rsidP="006D255A">
      <w:pPr>
        <w:pStyle w:val="ListParagraph"/>
        <w:rPr>
          <w:lang w:eastAsia="en-GB"/>
        </w:rPr>
      </w:pPr>
      <w:r>
        <w:rPr>
          <w:lang w:eastAsia="en-GB"/>
        </w:rPr>
        <w:t xml:space="preserve">A reduction in the anxiety felt about their family member.    </w:t>
      </w:r>
    </w:p>
    <w:p w14:paraId="02661218" w14:textId="725952A0" w:rsidR="002B5543" w:rsidRDefault="002B5543" w:rsidP="00E2544A">
      <w:pPr>
        <w:pStyle w:val="Caption"/>
        <w:keepNext/>
      </w:pPr>
      <w:r w:rsidRPr="74920455">
        <w:rPr>
          <w:color w:val="191919" w:themeColor="background2" w:themeShade="1A"/>
          <w:sz w:val="28"/>
          <w:szCs w:val="28"/>
        </w:rPr>
        <w:t xml:space="preserve">Table </w:t>
      </w:r>
      <w:r w:rsidR="003944CD" w:rsidRPr="00BD509C">
        <w:rPr>
          <w:color w:val="auto"/>
          <w:sz w:val="28"/>
          <w:szCs w:val="28"/>
        </w:rPr>
        <w:fldChar w:fldCharType="begin"/>
      </w:r>
      <w:r w:rsidR="003944CD" w:rsidRPr="00BD509C">
        <w:rPr>
          <w:color w:val="auto"/>
          <w:sz w:val="28"/>
          <w:szCs w:val="28"/>
        </w:rPr>
        <w:instrText xml:space="preserve"> SEQ Table \* ARABIC </w:instrText>
      </w:r>
      <w:r w:rsidR="003944CD" w:rsidRPr="00BD509C">
        <w:rPr>
          <w:color w:val="auto"/>
          <w:sz w:val="28"/>
          <w:szCs w:val="28"/>
        </w:rPr>
        <w:fldChar w:fldCharType="separate"/>
      </w:r>
      <w:r w:rsidRPr="00BD509C">
        <w:rPr>
          <w:noProof/>
          <w:color w:val="auto"/>
          <w:sz w:val="28"/>
          <w:szCs w:val="28"/>
        </w:rPr>
        <w:t>4</w:t>
      </w:r>
      <w:r w:rsidR="003944CD" w:rsidRPr="00BD509C">
        <w:rPr>
          <w:noProof/>
          <w:color w:val="auto"/>
          <w:sz w:val="28"/>
          <w:szCs w:val="28"/>
        </w:rPr>
        <w:fldChar w:fldCharType="end"/>
      </w:r>
      <w:r w:rsidRPr="74920455">
        <w:rPr>
          <w:color w:val="191919" w:themeColor="background2" w:themeShade="1A"/>
          <w:sz w:val="28"/>
          <w:szCs w:val="28"/>
        </w:rPr>
        <w:t>: Outcomes for the family and carers of vision rehabilitation clients</w:t>
      </w:r>
    </w:p>
    <w:tbl>
      <w:tblPr>
        <w:tblStyle w:val="OPMLightListorBox"/>
        <w:tblW w:w="0" w:type="auto"/>
        <w:tblLook w:val="04A0" w:firstRow="1" w:lastRow="0" w:firstColumn="1" w:lastColumn="0" w:noHBand="0" w:noVBand="1"/>
        <w:tblCaption w:val="Table 4: Outcomes for the family and carers of vision rehabilitation clients "/>
        <w:tblDescription w:val="The outcomes for the family/carers of vision rehabilitation clients fall into one impact area - reduced anxiety about the service user. This is further split into two outcomes: a. Increased confidence that service user has an additional source of support for vision impairment and decreased feelings of worry/anxiety about service use&#10;b. Reduced burden of informal care&#10;"/>
      </w:tblPr>
      <w:tblGrid>
        <w:gridCol w:w="3818"/>
        <w:gridCol w:w="5234"/>
      </w:tblGrid>
      <w:tr w:rsidR="002B5543" w14:paraId="5048E6A3" w14:textId="77777777" w:rsidTr="00B749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Borders>
              <w:top w:val="single" w:sz="8" w:space="0" w:color="auto"/>
              <w:left w:val="single" w:sz="8" w:space="0" w:color="auto"/>
              <w:bottom w:val="single" w:sz="8" w:space="0" w:color="auto"/>
              <w:right w:val="single" w:sz="8" w:space="0" w:color="auto"/>
            </w:tcBorders>
          </w:tcPr>
          <w:p w14:paraId="3F52DE99" w14:textId="07AED7DD" w:rsidR="002B5543" w:rsidRPr="002A64FA" w:rsidRDefault="002B5543" w:rsidP="00F51052">
            <w:pPr>
              <w:rPr>
                <w:color w:val="auto"/>
              </w:rPr>
            </w:pPr>
            <w:r w:rsidRPr="74920455">
              <w:rPr>
                <w:color w:val="auto"/>
              </w:rPr>
              <w:t xml:space="preserve">Area of impact </w:t>
            </w:r>
          </w:p>
        </w:tc>
        <w:tc>
          <w:tcPr>
            <w:tcW w:w="5234" w:type="dxa"/>
            <w:tcBorders>
              <w:top w:val="single" w:sz="8" w:space="0" w:color="auto"/>
              <w:left w:val="single" w:sz="8" w:space="0" w:color="auto"/>
              <w:bottom w:val="single" w:sz="8" w:space="0" w:color="auto"/>
              <w:right w:val="single" w:sz="8" w:space="0" w:color="auto"/>
            </w:tcBorders>
          </w:tcPr>
          <w:p w14:paraId="69327895" w14:textId="3EFE0E6D" w:rsidR="002B5543" w:rsidRPr="002A64FA" w:rsidRDefault="002B5543" w:rsidP="00F51052">
            <w:pPr>
              <w:cnfStyle w:val="100000000000" w:firstRow="1" w:lastRow="0" w:firstColumn="0" w:lastColumn="0" w:oddVBand="0" w:evenVBand="0" w:oddHBand="0" w:evenHBand="0" w:firstRowFirstColumn="0" w:firstRowLastColumn="0" w:lastRowFirstColumn="0" w:lastRowLastColumn="0"/>
              <w:rPr>
                <w:color w:val="auto"/>
              </w:rPr>
            </w:pPr>
            <w:r w:rsidRPr="74920455">
              <w:rPr>
                <w:color w:val="auto"/>
              </w:rPr>
              <w:t xml:space="preserve">Outcomes </w:t>
            </w:r>
          </w:p>
        </w:tc>
      </w:tr>
      <w:tr w:rsidR="002B5543" w14:paraId="2BA371DA" w14:textId="77777777" w:rsidTr="00B74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vMerge w:val="restart"/>
            <w:tcBorders>
              <w:top w:val="single" w:sz="8" w:space="0" w:color="auto"/>
              <w:left w:val="single" w:sz="8" w:space="0" w:color="auto"/>
              <w:bottom w:val="single" w:sz="8" w:space="0" w:color="auto"/>
              <w:right w:val="single" w:sz="8" w:space="0" w:color="auto"/>
            </w:tcBorders>
          </w:tcPr>
          <w:p w14:paraId="17C4D462" w14:textId="151673E7" w:rsidR="002B5543" w:rsidRPr="00D92B5B" w:rsidRDefault="002B5543" w:rsidP="00F51052">
            <w:pPr>
              <w:rPr>
                <w:rFonts w:cstheme="minorHAnsi"/>
              </w:rPr>
            </w:pPr>
            <w:r w:rsidRPr="00D92B5B">
              <w:rPr>
                <w:rFonts w:eastAsia="Times New Roman" w:cstheme="minorHAnsi"/>
                <w:color w:val="000000"/>
                <w:lang w:val="en-AU"/>
              </w:rPr>
              <w:t>Reduced anxiety about service user</w:t>
            </w:r>
          </w:p>
        </w:tc>
        <w:tc>
          <w:tcPr>
            <w:tcW w:w="5234" w:type="dxa"/>
            <w:tcBorders>
              <w:top w:val="single" w:sz="8" w:space="0" w:color="auto"/>
              <w:left w:val="single" w:sz="8" w:space="0" w:color="auto"/>
              <w:bottom w:val="single" w:sz="8" w:space="0" w:color="auto"/>
              <w:right w:val="single" w:sz="8" w:space="0" w:color="auto"/>
            </w:tcBorders>
          </w:tcPr>
          <w:p w14:paraId="75146CEB" w14:textId="16EA4CA8" w:rsidR="002B5543" w:rsidRPr="00F51052" w:rsidRDefault="002B5543" w:rsidP="00F51052">
            <w:pPr>
              <w:cnfStyle w:val="000000100000" w:firstRow="0" w:lastRow="0" w:firstColumn="0" w:lastColumn="0" w:oddVBand="0" w:evenVBand="0" w:oddHBand="1" w:evenHBand="0" w:firstRowFirstColumn="0" w:firstRowLastColumn="0" w:lastRowFirstColumn="0" w:lastRowLastColumn="0"/>
              <w:rPr>
                <w:rFonts w:eastAsiaTheme="minorEastAsia"/>
                <w:color w:val="000000"/>
                <w:lang w:val="en-AU"/>
              </w:rPr>
            </w:pPr>
            <w:r w:rsidRPr="5809C24E">
              <w:rPr>
                <w:rFonts w:eastAsiaTheme="minorEastAsia"/>
                <w:color w:val="000000"/>
                <w:lang w:val="en-AU"/>
              </w:rPr>
              <w:t>a. Increased confidence that service user has an additional source of support for vision impairment and decreased feelings of worry/anxiety about service user</w:t>
            </w:r>
          </w:p>
        </w:tc>
      </w:tr>
      <w:tr w:rsidR="002B5543" w14:paraId="2D37F384" w14:textId="77777777" w:rsidTr="00B74972">
        <w:tc>
          <w:tcPr>
            <w:cnfStyle w:val="001000000000" w:firstRow="0" w:lastRow="0" w:firstColumn="1" w:lastColumn="0" w:oddVBand="0" w:evenVBand="0" w:oddHBand="0" w:evenHBand="0" w:firstRowFirstColumn="0" w:firstRowLastColumn="0" w:lastRowFirstColumn="0" w:lastRowLastColumn="0"/>
            <w:tcW w:w="3818" w:type="dxa"/>
            <w:vMerge/>
            <w:tcBorders>
              <w:top w:val="single" w:sz="8" w:space="0" w:color="auto"/>
              <w:left w:val="single" w:sz="8" w:space="0" w:color="auto"/>
              <w:bottom w:val="single" w:sz="8" w:space="0" w:color="auto"/>
              <w:right w:val="single" w:sz="8" w:space="0" w:color="auto"/>
            </w:tcBorders>
          </w:tcPr>
          <w:p w14:paraId="589848B8" w14:textId="77777777" w:rsidR="002B5543" w:rsidRPr="0023441C" w:rsidRDefault="002B5543" w:rsidP="00F51052">
            <w:pPr>
              <w:rPr>
                <w:rFonts w:ascii="Calibri" w:eastAsia="Times New Roman" w:hAnsi="Calibri" w:cs="Times New Roman"/>
                <w:b w:val="0"/>
                <w:bCs w:val="0"/>
                <w:color w:val="000000"/>
                <w:lang w:val="en-AU"/>
              </w:rPr>
            </w:pPr>
          </w:p>
        </w:tc>
        <w:tc>
          <w:tcPr>
            <w:tcW w:w="5234" w:type="dxa"/>
            <w:tcBorders>
              <w:top w:val="single" w:sz="8" w:space="0" w:color="auto"/>
              <w:left w:val="single" w:sz="8" w:space="0" w:color="auto"/>
              <w:bottom w:val="single" w:sz="8" w:space="0" w:color="auto"/>
              <w:right w:val="single" w:sz="8" w:space="0" w:color="auto"/>
            </w:tcBorders>
          </w:tcPr>
          <w:p w14:paraId="652A9235" w14:textId="1FC087F1" w:rsidR="002B5543" w:rsidRDefault="002B5543" w:rsidP="00F51052">
            <w:pPr>
              <w:cnfStyle w:val="000000000000" w:firstRow="0" w:lastRow="0" w:firstColumn="0" w:lastColumn="0" w:oddVBand="0" w:evenVBand="0" w:oddHBand="0" w:evenHBand="0" w:firstRowFirstColumn="0" w:firstRowLastColumn="0" w:lastRowFirstColumn="0" w:lastRowLastColumn="0"/>
              <w:rPr>
                <w:rFonts w:eastAsiaTheme="minorEastAsia"/>
                <w:color w:val="000000"/>
                <w:lang w:val="en-AU"/>
              </w:rPr>
            </w:pPr>
            <w:r w:rsidRPr="5809C24E">
              <w:rPr>
                <w:rFonts w:eastAsiaTheme="minorEastAsia"/>
                <w:color w:val="000000"/>
                <w:lang w:val="en-AU"/>
              </w:rPr>
              <w:t>b. Reduced burden of informal care</w:t>
            </w:r>
          </w:p>
        </w:tc>
      </w:tr>
    </w:tbl>
    <w:p w14:paraId="6563EE28" w14:textId="246D5C6B" w:rsidR="002B5543" w:rsidRDefault="002B5543" w:rsidP="00216F51">
      <w:pPr>
        <w:rPr>
          <w:lang w:eastAsia="en-GB"/>
        </w:rPr>
      </w:pPr>
      <w:r>
        <w:rPr>
          <w:lang w:eastAsia="en-GB"/>
        </w:rPr>
        <w:t>The secondary sources of evidence that supplement</w:t>
      </w:r>
      <w:r w:rsidRPr="00456523">
        <w:rPr>
          <w:lang w:eastAsia="en-GB"/>
        </w:rPr>
        <w:t xml:space="preserve"> the outcomes found via our primary research with Sight for Surrey servi</w:t>
      </w:r>
      <w:r>
        <w:rPr>
          <w:lang w:eastAsia="en-GB"/>
        </w:rPr>
        <w:t>ce users and professional staff</w:t>
      </w:r>
      <w:r w:rsidRPr="00456523">
        <w:rPr>
          <w:lang w:eastAsia="en-GB"/>
        </w:rPr>
        <w:t xml:space="preserve"> can be found in the appendix to this report.</w:t>
      </w:r>
      <w:r>
        <w:rPr>
          <w:lang w:eastAsia="en-GB"/>
        </w:rPr>
        <w:t xml:space="preserve"> </w:t>
      </w:r>
    </w:p>
    <w:p w14:paraId="29F480A3" w14:textId="76D3A516" w:rsidR="002B5543" w:rsidRDefault="002B5543" w:rsidP="000970AB">
      <w:pPr>
        <w:pStyle w:val="Heading3"/>
        <w:rPr>
          <w:lang w:eastAsia="en-GB"/>
        </w:rPr>
      </w:pPr>
      <w:r>
        <w:rPr>
          <w:lang w:eastAsia="en-GB"/>
        </w:rPr>
        <w:t>Verifying outcomes and impact areas</w:t>
      </w:r>
    </w:p>
    <w:p w14:paraId="0966B1BD" w14:textId="4BD56D10" w:rsidR="002B5543" w:rsidRDefault="002B5543" w:rsidP="00216F51">
      <w:pPr>
        <w:rPr>
          <w:lang w:eastAsia="en-GB"/>
        </w:rPr>
      </w:pPr>
      <w:r>
        <w:rPr>
          <w:lang w:eastAsia="en-GB"/>
        </w:rPr>
        <w:t>The tables presented above show the specific outcomes identified under each impact area. These impact areas and specific outcomes were arrived at by taking what we heard through primary research with Sight for Surrey service users and professionals then consulting the published evidence to</w:t>
      </w:r>
      <w:r>
        <w:rPr>
          <w:noProof/>
        </w:rPr>
        <w:t xml:space="preserve"> establish the plausibility that an area of impact does manifest itself in terms of these specifc outcomes. </w:t>
      </w:r>
    </w:p>
    <w:p w14:paraId="292CE276" w14:textId="7706A4E8" w:rsidR="002B5543" w:rsidRDefault="002B5543" w:rsidP="002E79EE">
      <w:pPr>
        <w:pStyle w:val="Heading2"/>
        <w:rPr>
          <w:lang w:eastAsia="en-GB"/>
        </w:rPr>
      </w:pPr>
      <w:bookmarkStart w:id="45" w:name="_Toc485896973"/>
      <w:r>
        <w:rPr>
          <w:lang w:eastAsia="en-GB"/>
        </w:rPr>
        <w:t xml:space="preserve">4.3 Valuing outcomes in monetary terms </w:t>
      </w:r>
      <w:r w:rsidRPr="00466977">
        <w:rPr>
          <w:b w:val="0"/>
          <w:sz w:val="28"/>
          <w:szCs w:val="28"/>
        </w:rPr>
        <w:t>[</w:t>
      </w:r>
      <w:r w:rsidRPr="00466977">
        <w:rPr>
          <w:rStyle w:val="EndnoteReference"/>
        </w:rPr>
        <w:endnoteReference w:id="37"/>
      </w:r>
      <w:bookmarkEnd w:id="45"/>
      <w:r w:rsidRPr="00466977">
        <w:rPr>
          <w:b w:val="0"/>
          <w:sz w:val="28"/>
          <w:szCs w:val="28"/>
        </w:rPr>
        <w:t xml:space="preserve">] </w:t>
      </w:r>
    </w:p>
    <w:p w14:paraId="486D7605" w14:textId="31A48028" w:rsidR="002B5543" w:rsidRDefault="002B5543" w:rsidP="00D02CBF">
      <w:pPr>
        <w:rPr>
          <w:lang w:eastAsia="en-GB"/>
        </w:rPr>
      </w:pPr>
      <w:r>
        <w:rPr>
          <w:lang w:eastAsia="en-GB"/>
        </w:rPr>
        <w:t xml:space="preserve">The outcomes we have identified are </w:t>
      </w:r>
      <w:r w:rsidRPr="00E80BA1">
        <w:rPr>
          <w:lang w:eastAsia="en-GB"/>
        </w:rPr>
        <w:t>for service users and</w:t>
      </w:r>
      <w:r>
        <w:rPr>
          <w:lang w:eastAsia="en-GB"/>
        </w:rPr>
        <w:t xml:space="preserve"> their</w:t>
      </w:r>
      <w:r w:rsidRPr="00E80BA1">
        <w:rPr>
          <w:lang w:eastAsia="en-GB"/>
        </w:rPr>
        <w:t xml:space="preserve"> family members</w:t>
      </w:r>
      <w:r>
        <w:rPr>
          <w:lang w:eastAsia="en-GB"/>
        </w:rPr>
        <w:t xml:space="preserve"> and carers</w:t>
      </w:r>
      <w:r w:rsidRPr="00E80BA1">
        <w:rPr>
          <w:lang w:eastAsia="en-GB"/>
        </w:rPr>
        <w:t xml:space="preserve">, </w:t>
      </w:r>
      <w:r>
        <w:rPr>
          <w:lang w:eastAsia="en-GB"/>
        </w:rPr>
        <w:t xml:space="preserve">however it is clear that </w:t>
      </w:r>
      <w:r w:rsidRPr="00E80BA1">
        <w:rPr>
          <w:lang w:eastAsia="en-GB"/>
        </w:rPr>
        <w:t>the bene</w:t>
      </w:r>
      <w:r>
        <w:rPr>
          <w:lang w:eastAsia="en-GB"/>
        </w:rPr>
        <w:t xml:space="preserve">fits are felt beyond them. The outcomes arising for both vision rehabilitation clients and their families and carers have the potential to generate financial benefits for both the individual and more broadly, where the outcome leads to a reduced reliance on other services. It is important to note that most of these are ‘avoided costs’ and are not, therefore, necessarily about ‘cost savings’. Nonetheless, they have a value that needs to be acknowledged, for example in reducing pressure on other services even where these do not generate ‘cash-releasing savings’. </w:t>
      </w:r>
    </w:p>
    <w:p w14:paraId="0ED55753" w14:textId="77777777" w:rsidR="002B5543" w:rsidRDefault="002B5543" w:rsidP="00D02CBF">
      <w:pPr>
        <w:rPr>
          <w:lang w:eastAsia="en-GB"/>
        </w:rPr>
      </w:pPr>
    </w:p>
    <w:p w14:paraId="2A558538" w14:textId="77777777" w:rsidR="002B5543" w:rsidRDefault="002B5543" w:rsidP="00D02CBF">
      <w:pPr>
        <w:rPr>
          <w:lang w:eastAsia="en-GB"/>
        </w:rPr>
      </w:pPr>
      <w:r>
        <w:rPr>
          <w:lang w:eastAsia="en-GB"/>
        </w:rPr>
        <w:t xml:space="preserve">Some of these benefits are more indirect than others, especially those that impact on the wider system, and we are not claiming that all reported benefits are always and wholly because of the vision rehabilitation service. </w:t>
      </w:r>
    </w:p>
    <w:p w14:paraId="0551603C" w14:textId="056BA700" w:rsidR="002B5543" w:rsidRDefault="002B5543" w:rsidP="008A230E">
      <w:pPr>
        <w:pStyle w:val="Heading3"/>
        <w:rPr>
          <w:lang w:eastAsia="en-GB"/>
        </w:rPr>
      </w:pPr>
      <w:r>
        <w:rPr>
          <w:lang w:eastAsia="en-GB"/>
        </w:rPr>
        <w:t>Calculating the financial value of Sight for Surrey outcomes</w:t>
      </w:r>
    </w:p>
    <w:p w14:paraId="3FA80235" w14:textId="49D50FC4" w:rsidR="002B5543" w:rsidRDefault="002B5543" w:rsidP="00BC6FF5">
      <w:pPr>
        <w:rPr>
          <w:lang w:eastAsia="en-GB"/>
        </w:rPr>
      </w:pPr>
      <w:r>
        <w:rPr>
          <w:lang w:eastAsia="en-GB"/>
        </w:rPr>
        <w:t xml:space="preserve">The process of attributing monetary values for Sight for Surrey outcomes involved several logical steps to link each outcome to a financial value (called a ‘proxy’) via an indicator and then to calculate a value based on the likely proportion of service users who would experience the outcome (e.g. some outcomes will be more likely for those in a certain age bracket, or under certain conditions). </w:t>
      </w:r>
    </w:p>
    <w:p w14:paraId="0DCA9DF6" w14:textId="77777777" w:rsidR="002B5543" w:rsidRDefault="002B5543" w:rsidP="00BC6FF5">
      <w:pPr>
        <w:rPr>
          <w:lang w:eastAsia="en-GB"/>
        </w:rPr>
      </w:pPr>
    </w:p>
    <w:p w14:paraId="511738B9" w14:textId="4D1F9E23" w:rsidR="002B5543" w:rsidRDefault="002B5543" w:rsidP="00BC6FF5">
      <w:pPr>
        <w:rPr>
          <w:lang w:eastAsia="en-GB"/>
        </w:rPr>
      </w:pPr>
      <w:r>
        <w:rPr>
          <w:lang w:eastAsia="en-GB"/>
        </w:rPr>
        <w:t xml:space="preserve">The process is outlined in Figure 6, explained below, and demonstrated with an example in Table 5 before we move on to summarise our final calculations. </w:t>
      </w:r>
    </w:p>
    <w:p w14:paraId="2A284A81" w14:textId="77777777" w:rsidR="002B5543" w:rsidRDefault="002B5543" w:rsidP="001732BC"/>
    <w:p w14:paraId="6B38E0A5" w14:textId="2AA9094C" w:rsidR="002B5543" w:rsidRPr="007739B3" w:rsidRDefault="002B5543" w:rsidP="004D3D3F">
      <w:pPr>
        <w:pStyle w:val="Caption"/>
        <w:rPr>
          <w:color w:val="auto"/>
        </w:rPr>
      </w:pPr>
      <w:r w:rsidRPr="007739B3">
        <w:rPr>
          <w:color w:val="auto"/>
          <w:sz w:val="28"/>
          <w:szCs w:val="28"/>
        </w:rPr>
        <w:t xml:space="preserve">Figure </w:t>
      </w:r>
      <w:r w:rsidRPr="00BD509C">
        <w:rPr>
          <w:color w:val="auto"/>
          <w:sz w:val="28"/>
          <w:szCs w:val="28"/>
        </w:rPr>
        <w:fldChar w:fldCharType="begin"/>
      </w:r>
      <w:r w:rsidRPr="00BD509C">
        <w:rPr>
          <w:color w:val="auto"/>
          <w:sz w:val="28"/>
          <w:szCs w:val="28"/>
        </w:rPr>
        <w:instrText xml:space="preserve"> SEQ Figure \* ARABIC </w:instrText>
      </w:r>
      <w:r w:rsidRPr="00BD509C">
        <w:rPr>
          <w:color w:val="auto"/>
          <w:sz w:val="28"/>
          <w:szCs w:val="28"/>
        </w:rPr>
        <w:fldChar w:fldCharType="separate"/>
      </w:r>
      <w:r w:rsidRPr="00BD509C">
        <w:rPr>
          <w:noProof/>
          <w:color w:val="auto"/>
          <w:sz w:val="28"/>
          <w:szCs w:val="28"/>
        </w:rPr>
        <w:t>5</w:t>
      </w:r>
      <w:r w:rsidRPr="00BD509C">
        <w:rPr>
          <w:color w:val="auto"/>
          <w:sz w:val="28"/>
          <w:szCs w:val="28"/>
        </w:rPr>
        <w:fldChar w:fldCharType="end"/>
      </w:r>
      <w:r w:rsidRPr="007739B3">
        <w:rPr>
          <w:color w:val="auto"/>
          <w:sz w:val="28"/>
          <w:szCs w:val="28"/>
        </w:rPr>
        <w:t xml:space="preserve">: The process of calculating financial values for the Sight for Surrey vision rehabilitation service outcomes  </w:t>
      </w:r>
    </w:p>
    <w:p w14:paraId="4AF6A08A" w14:textId="1102EF61" w:rsidR="002B5543" w:rsidRDefault="002B5543" w:rsidP="382C82C8"/>
    <w:p w14:paraId="5B8BC3C1" w14:textId="07898612" w:rsidR="002B5543" w:rsidRDefault="002B5543" w:rsidP="00361C02">
      <w:pPr>
        <w:pStyle w:val="ListParagraph"/>
        <w:numPr>
          <w:ilvl w:val="0"/>
          <w:numId w:val="21"/>
        </w:numPr>
      </w:pPr>
      <w:r w:rsidRPr="5F1554FC">
        <w:rPr>
          <w:b/>
        </w:rPr>
        <w:t>Assign an indicator to each outcome:</w:t>
      </w:r>
      <w:r w:rsidRPr="382C82C8">
        <w:t xml:space="preserve"> an indicator is a measurable change </w:t>
      </w:r>
      <w:r w:rsidRPr="492509CE">
        <w:t xml:space="preserve">occurring for </w:t>
      </w:r>
      <w:r w:rsidRPr="382C82C8">
        <w:t xml:space="preserve">an </w:t>
      </w:r>
      <w:r w:rsidRPr="0718984F">
        <w:t xml:space="preserve">individual if an outcome occurs for them. </w:t>
      </w:r>
    </w:p>
    <w:p w14:paraId="416C1D25" w14:textId="2073092D" w:rsidR="002B5543" w:rsidRDefault="2E454F28" w:rsidP="00361C02">
      <w:pPr>
        <w:pStyle w:val="ListParagraph"/>
        <w:numPr>
          <w:ilvl w:val="0"/>
          <w:numId w:val="21"/>
        </w:numPr>
      </w:pPr>
      <w:r w:rsidRPr="2E454F28">
        <w:rPr>
          <w:b/>
          <w:bCs/>
        </w:rPr>
        <w:t xml:space="preserve">Identify a financial proxy: </w:t>
      </w:r>
      <w:r>
        <w:t xml:space="preserve">the proxy figure is an accepted market value of an item or service that is representative of the change occurring on the indicator in a set period of time. </w:t>
      </w:r>
    </w:p>
    <w:p w14:paraId="0DC06A1A" w14:textId="2FA9DE96" w:rsidR="002B5543" w:rsidRDefault="002B5543" w:rsidP="00361C02">
      <w:pPr>
        <w:pStyle w:val="ListParagraph"/>
        <w:numPr>
          <w:ilvl w:val="0"/>
          <w:numId w:val="21"/>
        </w:numPr>
      </w:pPr>
      <w:r w:rsidRPr="007739B3">
        <w:rPr>
          <w:b/>
        </w:rPr>
        <w:t>Identify the proportion of service users likely to experience the outcome:</w:t>
      </w:r>
      <w:r w:rsidRPr="729BA178">
        <w:t xml:space="preserve"> these proportions are drawn from the avioable evidence or modelled using a 'percentile </w:t>
      </w:r>
      <w:r w:rsidRPr="64B450ED">
        <w:t xml:space="preserve">approach'. Each proportion in then applied to identify the number of beneficiaries who experience the </w:t>
      </w:r>
      <w:r w:rsidRPr="215C38B9">
        <w:t xml:space="preserve">outcome. </w:t>
      </w:r>
    </w:p>
    <w:p w14:paraId="3EF21371" w14:textId="717E649C" w:rsidR="002B5543" w:rsidRDefault="002B5543" w:rsidP="00361C02">
      <w:pPr>
        <w:pStyle w:val="ListParagraph"/>
        <w:numPr>
          <w:ilvl w:val="0"/>
          <w:numId w:val="21"/>
        </w:numPr>
      </w:pPr>
      <w:r w:rsidRPr="007739B3">
        <w:rPr>
          <w:b/>
        </w:rPr>
        <w:t>Calculate the value of the outcome</w:t>
      </w:r>
      <w:r w:rsidRPr="5B4A19E4">
        <w:t>: the proxies from Step 2 are multiplied by the numbers of individuals in Step 3 to calculate a pound</w:t>
      </w:r>
      <w:r w:rsidR="7D1EC816" w:rsidRPr="7D1EC816">
        <w:t xml:space="preserve"> value representing the costs avoided, saved or </w:t>
      </w:r>
      <w:r w:rsidR="0E39A1AA">
        <w:t>d</w:t>
      </w:r>
      <w:r w:rsidR="0E39A1AA" w:rsidRPr="0E39A1AA">
        <w:t xml:space="preserve">eferred by the outcome. </w:t>
      </w:r>
    </w:p>
    <w:p w14:paraId="35A6D0B3" w14:textId="77E9ECE4" w:rsidR="0E39A1AA" w:rsidRDefault="0E39A1AA" w:rsidP="00361C02">
      <w:pPr>
        <w:pStyle w:val="ListParagraph"/>
        <w:numPr>
          <w:ilvl w:val="0"/>
          <w:numId w:val="21"/>
        </w:numPr>
      </w:pPr>
      <w:r w:rsidRPr="007739B3">
        <w:rPr>
          <w:b/>
        </w:rPr>
        <w:t>Aggregate the value of all outcomes:</w:t>
      </w:r>
      <w:r w:rsidRPr="0E39A1AA">
        <w:t xml:space="preserve"> the values of each outcome are added together to calculate the total value of costs avoided, deferred or saved due to the Sight for Surrey</w:t>
      </w:r>
      <w:r w:rsidR="2CFD9BA9" w:rsidRPr="2CFD9BA9">
        <w:t xml:space="preserve"> vision rehabilitation service.</w:t>
      </w:r>
    </w:p>
    <w:p w14:paraId="6804AFD4" w14:textId="49762368" w:rsidR="002B5543" w:rsidRDefault="002B5543" w:rsidP="00BC6FF5">
      <w:pPr>
        <w:rPr>
          <w:lang w:eastAsia="en-GB"/>
        </w:rPr>
      </w:pPr>
    </w:p>
    <w:p w14:paraId="723FE4A5" w14:textId="74377A80" w:rsidR="002B5543" w:rsidRDefault="002B5543" w:rsidP="00BC6FF5">
      <w:pPr>
        <w:rPr>
          <w:lang w:eastAsia="en-GB"/>
        </w:rPr>
      </w:pPr>
      <w:r w:rsidRPr="00283262">
        <w:t>The process of calculating financial values for the Sight for Surrey vision r</w:t>
      </w:r>
      <w:r>
        <w:t xml:space="preserve">ehabilitation service outcomes </w:t>
      </w:r>
      <w:r>
        <w:rPr>
          <w:lang w:eastAsia="en-GB"/>
        </w:rPr>
        <w:t>includes the following steps for each outcome within each impact area (i.e. functional independence, personal safety, and so on).</w:t>
      </w:r>
    </w:p>
    <w:p w14:paraId="56726880" w14:textId="184774E0" w:rsidR="002B5543" w:rsidRDefault="002B5543" w:rsidP="00361C02">
      <w:pPr>
        <w:pStyle w:val="Heading4"/>
        <w:numPr>
          <w:ilvl w:val="0"/>
          <w:numId w:val="27"/>
        </w:numPr>
        <w:rPr>
          <w:lang w:eastAsia="en-GB"/>
        </w:rPr>
      </w:pPr>
      <w:r w:rsidRPr="00456523">
        <w:rPr>
          <w:lang w:eastAsia="en-GB"/>
        </w:rPr>
        <w:t>Assign</w:t>
      </w:r>
      <w:r>
        <w:rPr>
          <w:lang w:eastAsia="en-GB"/>
        </w:rPr>
        <w:t>ing</w:t>
      </w:r>
      <w:r w:rsidRPr="00456523">
        <w:rPr>
          <w:lang w:eastAsia="en-GB"/>
        </w:rPr>
        <w:t xml:space="preserve"> </w:t>
      </w:r>
      <w:r>
        <w:rPr>
          <w:lang w:eastAsia="en-GB"/>
        </w:rPr>
        <w:t>the outcome with an indicator and assumed change</w:t>
      </w:r>
    </w:p>
    <w:p w14:paraId="622A3A84" w14:textId="03D5FCF5" w:rsidR="002B5543" w:rsidRDefault="002B5543" w:rsidP="00361C02">
      <w:pPr>
        <w:pStyle w:val="ListBullet"/>
        <w:numPr>
          <w:ilvl w:val="0"/>
          <w:numId w:val="28"/>
        </w:numPr>
      </w:pPr>
      <w:r>
        <w:t xml:space="preserve">An indicator is a specific, measurable thing that will occur if an outcome holds true for an individual. The indicator can therefore be tracked to verify if an outcome is being achieved. </w:t>
      </w:r>
    </w:p>
    <w:p w14:paraId="791C5153" w14:textId="4EEC9BEB" w:rsidR="002B5543" w:rsidRPr="00456523" w:rsidRDefault="002B5543" w:rsidP="00361C02">
      <w:pPr>
        <w:pStyle w:val="ListBullet"/>
        <w:numPr>
          <w:ilvl w:val="0"/>
          <w:numId w:val="28"/>
        </w:numPr>
        <w:rPr>
          <w:lang w:eastAsia="en-GB"/>
        </w:rPr>
      </w:pPr>
      <w:r>
        <w:t xml:space="preserve">When selecting indicators for outcomes there is not only one option. It is likely there will be several changes in service users’ lives that may indicate that an outcome has occurred for them. </w:t>
      </w:r>
    </w:p>
    <w:p w14:paraId="1AC2D89F" w14:textId="4E7561D1" w:rsidR="002B5543" w:rsidRPr="00456523" w:rsidRDefault="002B5543" w:rsidP="00361C02">
      <w:pPr>
        <w:pStyle w:val="ListBullet"/>
        <w:numPr>
          <w:ilvl w:val="0"/>
          <w:numId w:val="28"/>
        </w:numPr>
        <w:rPr>
          <w:lang w:eastAsia="en-GB"/>
        </w:rPr>
      </w:pPr>
      <w:r>
        <w:t xml:space="preserve">We looked to a variety of relevant published sources to support the selection of indicators for each outcome (and the changes in them that would be true if the outcome held true) – these sources appear in the reference list in the appendix.       </w:t>
      </w:r>
    </w:p>
    <w:p w14:paraId="2FD36DF2" w14:textId="478E35EF" w:rsidR="002B5543" w:rsidRDefault="002B5543" w:rsidP="00361C02">
      <w:pPr>
        <w:pStyle w:val="ListBullet"/>
        <w:numPr>
          <w:ilvl w:val="0"/>
          <w:numId w:val="28"/>
        </w:numPr>
        <w:rPr>
          <w:lang w:eastAsia="en-GB"/>
        </w:rPr>
      </w:pPr>
      <w:r>
        <w:t>For example: for the outcome ‘i</w:t>
      </w:r>
      <w:r>
        <w:rPr>
          <w:lang w:eastAsia="en-GB"/>
        </w:rPr>
        <w:t>ncreased ability to complete daily living tasks in the home independently and does not require outside assistance’, the chosen indicator is ‘a reduction in the</w:t>
      </w:r>
      <w:r w:rsidRPr="00183F02">
        <w:rPr>
          <w:lang w:eastAsia="en-GB"/>
        </w:rPr>
        <w:t xml:space="preserve"> use of conventional home care services</w:t>
      </w:r>
      <w:r>
        <w:rPr>
          <w:lang w:eastAsia="en-GB"/>
        </w:rPr>
        <w:t xml:space="preserve">’. </w:t>
      </w:r>
    </w:p>
    <w:p w14:paraId="7D47A8C0" w14:textId="21015DDB" w:rsidR="002B5543" w:rsidRDefault="002B5543" w:rsidP="00361C02">
      <w:pPr>
        <w:pStyle w:val="ListBullet"/>
        <w:numPr>
          <w:ilvl w:val="0"/>
          <w:numId w:val="28"/>
        </w:numPr>
        <w:rPr>
          <w:lang w:eastAsia="en-GB"/>
        </w:rPr>
      </w:pPr>
      <w:r>
        <w:t xml:space="preserve">Using the literature, we also identified the assumed change in an indicator across a one year period (which would indicate the outcome occurring), for each outcome. </w:t>
      </w:r>
    </w:p>
    <w:p w14:paraId="4C7A6ACF" w14:textId="77777777" w:rsidR="002B5543" w:rsidRPr="00456523" w:rsidRDefault="002B5543" w:rsidP="00BD509C">
      <w:pPr>
        <w:pStyle w:val="ListBullet"/>
        <w:rPr>
          <w:lang w:eastAsia="en-GB"/>
        </w:rPr>
      </w:pPr>
    </w:p>
    <w:p w14:paraId="450ED604" w14:textId="0656B313" w:rsidR="002B5543" w:rsidRPr="00456523" w:rsidRDefault="002B5543" w:rsidP="00361C02">
      <w:pPr>
        <w:pStyle w:val="Heading4"/>
        <w:numPr>
          <w:ilvl w:val="0"/>
          <w:numId w:val="27"/>
        </w:numPr>
        <w:rPr>
          <w:lang w:eastAsia="en-GB"/>
        </w:rPr>
      </w:pPr>
      <w:r w:rsidRPr="00456523">
        <w:rPr>
          <w:lang w:eastAsia="en-GB"/>
        </w:rPr>
        <w:t xml:space="preserve">Identifying a financial proxy for the indicator </w:t>
      </w:r>
    </w:p>
    <w:p w14:paraId="703E02C5" w14:textId="3BE814DA" w:rsidR="002B5543" w:rsidRDefault="002B5543" w:rsidP="00361C02">
      <w:pPr>
        <w:pStyle w:val="ListBullet"/>
        <w:numPr>
          <w:ilvl w:val="0"/>
          <w:numId w:val="29"/>
        </w:numPr>
        <w:rPr>
          <w:lang w:eastAsia="en-GB"/>
        </w:rPr>
      </w:pPr>
      <w:r>
        <w:rPr>
          <w:lang w:eastAsia="en-GB"/>
        </w:rPr>
        <w:t xml:space="preserve">A financial proxy allows a financial value to be identified for outcomes that, in and of themselves, don’t have a market value. </w:t>
      </w:r>
    </w:p>
    <w:p w14:paraId="41A78264" w14:textId="5174BCE5" w:rsidR="002B5543" w:rsidRDefault="002B5543" w:rsidP="00361C02">
      <w:pPr>
        <w:pStyle w:val="ListBullet"/>
        <w:numPr>
          <w:ilvl w:val="0"/>
          <w:numId w:val="29"/>
        </w:numPr>
        <w:rPr>
          <w:lang w:eastAsia="en-GB"/>
        </w:rPr>
      </w:pPr>
      <w:r>
        <w:rPr>
          <w:lang w:eastAsia="en-GB"/>
        </w:rPr>
        <w:t xml:space="preserve">Proxies are financial figures which represent the cost of a known item or service that can logically ‘stand in for’ the unknown quantity.  </w:t>
      </w:r>
    </w:p>
    <w:p w14:paraId="3029D1DF" w14:textId="79EC7F55" w:rsidR="002B5543" w:rsidRDefault="002B5543" w:rsidP="00361C02">
      <w:pPr>
        <w:pStyle w:val="ListBullet"/>
        <w:numPr>
          <w:ilvl w:val="0"/>
          <w:numId w:val="29"/>
        </w:numPr>
        <w:rPr>
          <w:lang w:eastAsia="en-GB"/>
        </w:rPr>
      </w:pPr>
      <w:r>
        <w:rPr>
          <w:lang w:eastAsia="en-GB"/>
        </w:rPr>
        <w:t xml:space="preserve">In the case of this research, proxies have been selected based on being linked by secondary evidence to the indicator for each outcome.   </w:t>
      </w:r>
    </w:p>
    <w:p w14:paraId="04D1A834" w14:textId="63FDB335" w:rsidR="002B5543" w:rsidRDefault="002B5543" w:rsidP="00361C02">
      <w:pPr>
        <w:pStyle w:val="ListBullet"/>
        <w:numPr>
          <w:ilvl w:val="0"/>
          <w:numId w:val="29"/>
        </w:numPr>
        <w:rPr>
          <w:lang w:eastAsia="en-GB"/>
        </w:rPr>
      </w:pPr>
      <w:r>
        <w:rPr>
          <w:lang w:eastAsia="en-GB"/>
        </w:rPr>
        <w:t xml:space="preserve">For example: the proxy for the outcome and indicator in Step 1 above (and shown in Table 6) is: the cost of homecare services. </w:t>
      </w:r>
    </w:p>
    <w:p w14:paraId="4AA7645E" w14:textId="71E0B9FD" w:rsidR="002B5543" w:rsidRDefault="002B5543" w:rsidP="00361C02">
      <w:pPr>
        <w:pStyle w:val="ListBullet"/>
        <w:numPr>
          <w:ilvl w:val="0"/>
          <w:numId w:val="29"/>
        </w:numPr>
        <w:rPr>
          <w:lang w:eastAsia="en-GB"/>
        </w:rPr>
      </w:pPr>
      <w:r>
        <w:rPr>
          <w:lang w:eastAsia="en-GB"/>
        </w:rPr>
        <w:t xml:space="preserve">Any change in an indicator (i.e. a decrease in the amount of homecare used by an individual) can be quantified in financial values using the proxy figure.   </w:t>
      </w:r>
    </w:p>
    <w:p w14:paraId="494C53A6" w14:textId="0EDD5A32" w:rsidR="002B5543" w:rsidRDefault="002B5543" w:rsidP="00361C02">
      <w:pPr>
        <w:pStyle w:val="ListBullet"/>
        <w:numPr>
          <w:ilvl w:val="0"/>
          <w:numId w:val="29"/>
        </w:numPr>
        <w:rPr>
          <w:lang w:eastAsia="en-GB"/>
        </w:rPr>
      </w:pPr>
      <w:r>
        <w:rPr>
          <w:lang w:eastAsia="en-GB"/>
        </w:rPr>
        <w:t>All proxy values identified in this research come from repositories of the unit costs of services (or items) in the health and social care sectors [</w:t>
      </w:r>
      <w:r>
        <w:rPr>
          <w:rStyle w:val="EndnoteReference"/>
          <w:lang w:eastAsia="en-GB"/>
        </w:rPr>
        <w:endnoteReference w:id="38"/>
      </w:r>
      <w:r>
        <w:rPr>
          <w:lang w:eastAsia="en-GB"/>
        </w:rPr>
        <w:t xml:space="preserve">] are as up-to-date as possible to 2015/16, and are laid out in full in the technical appendix available from RNIB on request. </w:t>
      </w:r>
    </w:p>
    <w:p w14:paraId="50F806BB" w14:textId="5347B4E8" w:rsidR="002B5543" w:rsidRDefault="002B5543" w:rsidP="00361C02">
      <w:pPr>
        <w:pStyle w:val="ListBullet"/>
        <w:rPr>
          <w:lang w:eastAsia="en-GB"/>
        </w:rPr>
      </w:pPr>
    </w:p>
    <w:p w14:paraId="4E9FA91B" w14:textId="104049D9" w:rsidR="002B5543" w:rsidRPr="00456523" w:rsidRDefault="002B5543" w:rsidP="00361C02">
      <w:pPr>
        <w:pStyle w:val="Heading4"/>
        <w:numPr>
          <w:ilvl w:val="0"/>
          <w:numId w:val="27"/>
        </w:numPr>
        <w:rPr>
          <w:lang w:eastAsia="en-GB"/>
        </w:rPr>
      </w:pPr>
      <w:r w:rsidRPr="00283262">
        <w:rPr>
          <w:lang w:val="en-US" w:eastAsia="en-GB"/>
        </w:rPr>
        <w:t>Identify</w:t>
      </w:r>
      <w:r w:rsidRPr="00456523">
        <w:rPr>
          <w:lang w:val="en-US" w:eastAsia="en-GB"/>
        </w:rPr>
        <w:t>ing</w:t>
      </w:r>
      <w:r w:rsidRPr="00283262">
        <w:rPr>
          <w:lang w:val="en-US" w:eastAsia="en-GB"/>
        </w:rPr>
        <w:t xml:space="preserve"> the proportion of service users who </w:t>
      </w:r>
      <w:r w:rsidRPr="00456523">
        <w:rPr>
          <w:lang w:val="en-US" w:eastAsia="en-GB"/>
        </w:rPr>
        <w:t>experience</w:t>
      </w:r>
      <w:r w:rsidRPr="00283262">
        <w:rPr>
          <w:lang w:val="en-US" w:eastAsia="en-GB"/>
        </w:rPr>
        <w:t xml:space="preserve"> </w:t>
      </w:r>
      <w:r w:rsidRPr="00456523">
        <w:rPr>
          <w:lang w:val="en-US" w:eastAsia="en-GB"/>
        </w:rPr>
        <w:t>the</w:t>
      </w:r>
      <w:r w:rsidRPr="00283262">
        <w:rPr>
          <w:lang w:val="en-US" w:eastAsia="en-GB"/>
        </w:rPr>
        <w:t xml:space="preserve"> outcome</w:t>
      </w:r>
    </w:p>
    <w:p w14:paraId="39932D9F" w14:textId="38271B3E" w:rsidR="002B5543" w:rsidRPr="00456523" w:rsidRDefault="002B5543" w:rsidP="00361C02">
      <w:pPr>
        <w:pStyle w:val="ListBullet"/>
        <w:numPr>
          <w:ilvl w:val="0"/>
          <w:numId w:val="30"/>
        </w:numPr>
        <w:rPr>
          <w:lang w:eastAsia="en-GB"/>
        </w:rPr>
      </w:pPr>
      <w:r w:rsidRPr="002A66C1">
        <w:rPr>
          <w:lang w:val="en-US" w:eastAsia="en-GB"/>
        </w:rPr>
        <w:t xml:space="preserve">The proportion of service users (or their family members/carers) for whom </w:t>
      </w:r>
      <w:r>
        <w:rPr>
          <w:lang w:val="en-US" w:eastAsia="en-GB"/>
        </w:rPr>
        <w:t>an</w:t>
      </w:r>
      <w:r w:rsidRPr="002A66C1">
        <w:rPr>
          <w:lang w:val="en-US" w:eastAsia="en-GB"/>
        </w:rPr>
        <w:t xml:space="preserve"> outcome </w:t>
      </w:r>
      <w:r>
        <w:rPr>
          <w:lang w:val="en-US" w:eastAsia="en-GB"/>
        </w:rPr>
        <w:t>is likely to occur as a result of the Sight for Surrey vision rehabilitation service will be determined by factors such as their age and personal circumstances (such as condition, social support networks, living arrangements, etc.) [</w:t>
      </w:r>
      <w:r>
        <w:rPr>
          <w:rStyle w:val="EndnoteReference"/>
          <w:lang w:val="en-US" w:eastAsia="en-GB"/>
        </w:rPr>
        <w:endnoteReference w:id="39"/>
      </w:r>
      <w:r>
        <w:rPr>
          <w:lang w:val="en-US" w:eastAsia="en-GB"/>
        </w:rPr>
        <w:t xml:space="preserve">].  </w:t>
      </w:r>
    </w:p>
    <w:p w14:paraId="11C35F94" w14:textId="2DE9436D" w:rsidR="002B5543" w:rsidRPr="008D2715" w:rsidRDefault="002B5543" w:rsidP="00361C02">
      <w:pPr>
        <w:pStyle w:val="ListBullet"/>
        <w:numPr>
          <w:ilvl w:val="0"/>
          <w:numId w:val="30"/>
        </w:numPr>
        <w:rPr>
          <w:lang w:eastAsia="en-GB"/>
        </w:rPr>
      </w:pPr>
      <w:r>
        <w:rPr>
          <w:lang w:eastAsia="en-GB"/>
        </w:rPr>
        <w:t xml:space="preserve">As this type of information for individuals is unknown and difficult to aggregate, assumptions about the likelihood of experiencing each outcome were made by </w:t>
      </w:r>
      <w:r w:rsidRPr="00334DC8">
        <w:rPr>
          <w:lang w:val="en-US" w:eastAsia="en-GB"/>
        </w:rPr>
        <w:t xml:space="preserve">drawing from </w:t>
      </w:r>
      <w:r>
        <w:rPr>
          <w:lang w:val="en-US" w:eastAsia="en-GB"/>
        </w:rPr>
        <w:t xml:space="preserve">our </w:t>
      </w:r>
      <w:r w:rsidRPr="00334DC8">
        <w:rPr>
          <w:lang w:val="en-US" w:eastAsia="en-GB"/>
        </w:rPr>
        <w:t>primary</w:t>
      </w:r>
      <w:r>
        <w:rPr>
          <w:lang w:val="en-US" w:eastAsia="en-GB"/>
        </w:rPr>
        <w:t xml:space="preserve"> research</w:t>
      </w:r>
      <w:r w:rsidRPr="00334DC8">
        <w:rPr>
          <w:lang w:val="en-US" w:eastAsia="en-GB"/>
        </w:rPr>
        <w:t xml:space="preserve"> and</w:t>
      </w:r>
      <w:r>
        <w:rPr>
          <w:lang w:val="en-US" w:eastAsia="en-GB"/>
        </w:rPr>
        <w:t xml:space="preserve"> the available</w:t>
      </w:r>
      <w:r w:rsidRPr="00334DC8">
        <w:rPr>
          <w:lang w:val="en-US" w:eastAsia="en-GB"/>
        </w:rPr>
        <w:t xml:space="preserve"> secondary evidence</w:t>
      </w:r>
      <w:r>
        <w:rPr>
          <w:lang w:val="en-US" w:eastAsia="en-GB"/>
        </w:rPr>
        <w:t>, such as studies showing proportions of service users experiencing certain outcomes and patterns identified in the primary interview data</w:t>
      </w:r>
      <w:r w:rsidRPr="00334DC8">
        <w:rPr>
          <w:lang w:val="en-US" w:eastAsia="en-GB"/>
        </w:rPr>
        <w:t xml:space="preserve">. </w:t>
      </w:r>
    </w:p>
    <w:p w14:paraId="4026B93C" w14:textId="4FE24DA8" w:rsidR="002B5543" w:rsidRDefault="002B5543" w:rsidP="00361C02">
      <w:pPr>
        <w:pStyle w:val="ListBullet"/>
        <w:numPr>
          <w:ilvl w:val="0"/>
          <w:numId w:val="30"/>
        </w:numPr>
        <w:rPr>
          <w:lang w:eastAsia="en-GB"/>
        </w:rPr>
      </w:pPr>
      <w:r w:rsidRPr="00880525">
        <w:rPr>
          <w:lang w:eastAsia="en-GB"/>
        </w:rPr>
        <w:t>Where it was not clear from primary or secondary sources what proportion of service users</w:t>
      </w:r>
      <w:r>
        <w:rPr>
          <w:lang w:eastAsia="en-GB"/>
        </w:rPr>
        <w:t xml:space="preserve"> (or their families or carers)</w:t>
      </w:r>
      <w:r w:rsidRPr="00880525">
        <w:rPr>
          <w:lang w:eastAsia="en-GB"/>
        </w:rPr>
        <w:t xml:space="preserve"> </w:t>
      </w:r>
      <w:r>
        <w:rPr>
          <w:lang w:eastAsia="en-GB"/>
        </w:rPr>
        <w:t>are likely to</w:t>
      </w:r>
      <w:r w:rsidRPr="00880525">
        <w:rPr>
          <w:lang w:eastAsia="en-GB"/>
        </w:rPr>
        <w:t xml:space="preserve"> experience a specific outcome, we modelled possible scenarios based on </w:t>
      </w:r>
      <w:r>
        <w:rPr>
          <w:lang w:eastAsia="en-GB"/>
        </w:rPr>
        <w:t xml:space="preserve">a percentile approach; that is, by attributing a proportion of </w:t>
      </w:r>
      <w:r w:rsidRPr="00880525">
        <w:rPr>
          <w:lang w:eastAsia="en-GB"/>
        </w:rPr>
        <w:t>10%, 25%</w:t>
      </w:r>
      <w:r>
        <w:rPr>
          <w:lang w:eastAsia="en-GB"/>
        </w:rPr>
        <w:t xml:space="preserve"> or </w:t>
      </w:r>
      <w:r w:rsidRPr="00880525">
        <w:rPr>
          <w:lang w:eastAsia="en-GB"/>
        </w:rPr>
        <w:t>50</w:t>
      </w:r>
      <w:r>
        <w:rPr>
          <w:lang w:eastAsia="en-GB"/>
        </w:rPr>
        <w:t>% to</w:t>
      </w:r>
      <w:r w:rsidRPr="00880525">
        <w:rPr>
          <w:lang w:eastAsia="en-GB"/>
        </w:rPr>
        <w:t xml:space="preserve"> that outcome</w:t>
      </w:r>
      <w:r>
        <w:rPr>
          <w:lang w:eastAsia="en-GB"/>
        </w:rPr>
        <w:t xml:space="preserve"> that represents a scenario in which, respectively, 10%, 25% or 50% of service users experienced the outcome</w:t>
      </w:r>
      <w:r w:rsidRPr="00880525">
        <w:rPr>
          <w:lang w:eastAsia="en-GB"/>
        </w:rPr>
        <w:t>.</w:t>
      </w:r>
    </w:p>
    <w:p w14:paraId="6D4A251B" w14:textId="08B0D311" w:rsidR="002B5543" w:rsidRPr="001B252B" w:rsidRDefault="002B5543" w:rsidP="00361C02">
      <w:pPr>
        <w:pStyle w:val="ListBullet"/>
        <w:numPr>
          <w:ilvl w:val="0"/>
          <w:numId w:val="30"/>
        </w:numPr>
        <w:rPr>
          <w:lang w:eastAsia="en-GB"/>
        </w:rPr>
      </w:pPr>
      <w:r>
        <w:rPr>
          <w:lang w:eastAsia="en-GB"/>
        </w:rPr>
        <w:t>The entire cohort of service users who are likely to experience an outcome may not, in fact, all experience it. We therefore took a conservative percentile approach to estimating the proportion of the cohort who are likely to experience each outcome. We took 10% as the proportion [</w:t>
      </w:r>
      <w:r>
        <w:rPr>
          <w:rStyle w:val="EndnoteReference"/>
          <w:lang w:eastAsia="en-GB"/>
        </w:rPr>
        <w:endnoteReference w:id="40"/>
      </w:r>
      <w:r>
        <w:rPr>
          <w:lang w:eastAsia="en-GB"/>
        </w:rPr>
        <w:t>], however, other proportion figures may also be chosen in order to demonstrate scenarios in which higher or lower proportions of service users experience Sight for Surrey outcomes [</w:t>
      </w:r>
      <w:r>
        <w:rPr>
          <w:rStyle w:val="EndnoteReference"/>
          <w:lang w:eastAsia="en-GB"/>
        </w:rPr>
        <w:endnoteReference w:id="41"/>
      </w:r>
      <w:r>
        <w:rPr>
          <w:lang w:eastAsia="en-GB"/>
        </w:rPr>
        <w:t xml:space="preserve">]. </w:t>
      </w:r>
    </w:p>
    <w:p w14:paraId="07CD0F4F" w14:textId="44C2D1F0" w:rsidR="002B5543" w:rsidRPr="00456523" w:rsidRDefault="002B5543" w:rsidP="00361C02">
      <w:pPr>
        <w:pStyle w:val="ListBullet"/>
        <w:numPr>
          <w:ilvl w:val="0"/>
          <w:numId w:val="30"/>
        </w:numPr>
        <w:rPr>
          <w:lang w:eastAsia="en-GB"/>
        </w:rPr>
      </w:pPr>
      <w:r>
        <w:rPr>
          <w:lang w:val="en-US" w:eastAsia="en-GB"/>
        </w:rPr>
        <w:t xml:space="preserve">These two figures (the cohort of service users who are likely to experience an outcome and the proportion of this cohort estimated to actually experience the outcome) were then multiplied by the total number of Sight for Surrey service users who received a specialist assessment in 2015/16 (702 individuals) in order to calculate the number of individuals each outcome pertains to. </w:t>
      </w:r>
    </w:p>
    <w:p w14:paraId="3E3D713D" w14:textId="2462B997" w:rsidR="002B5543" w:rsidRDefault="002B5543" w:rsidP="00361C02">
      <w:pPr>
        <w:pStyle w:val="ListBullet"/>
        <w:numPr>
          <w:ilvl w:val="0"/>
          <w:numId w:val="30"/>
        </w:numPr>
        <w:rPr>
          <w:lang w:eastAsia="en-GB"/>
        </w:rPr>
      </w:pPr>
      <w:r>
        <w:rPr>
          <w:lang w:eastAsia="en-GB"/>
        </w:rPr>
        <w:t>We have taken a conservative stance with identifying proportions (whether based on evidence or the percentile approach) so as not to overestimate the incidence of each outcome occurring nor the final calculation of associated financial value.</w:t>
      </w:r>
    </w:p>
    <w:p w14:paraId="619B6D39" w14:textId="09051B29" w:rsidR="002B5543" w:rsidRPr="00282B74" w:rsidRDefault="002B5543" w:rsidP="00361C02">
      <w:pPr>
        <w:pStyle w:val="ListBullet"/>
        <w:numPr>
          <w:ilvl w:val="0"/>
          <w:numId w:val="30"/>
        </w:numPr>
        <w:rPr>
          <w:lang w:eastAsia="en-GB"/>
        </w:rPr>
      </w:pPr>
      <w:r>
        <w:rPr>
          <w:lang w:val="en-US" w:eastAsia="en-GB"/>
        </w:rPr>
        <w:t xml:space="preserve">Our assumptions and supporting evidence can be found in the technical appendix available from the RNIB on request. </w:t>
      </w:r>
    </w:p>
    <w:p w14:paraId="23EFB54F" w14:textId="77777777" w:rsidR="002B5543" w:rsidRPr="008215D7" w:rsidRDefault="002B5543" w:rsidP="00282B74">
      <w:pPr>
        <w:pStyle w:val="ListBullet"/>
        <w:ind w:left="357"/>
        <w:rPr>
          <w:lang w:eastAsia="en-GB"/>
        </w:rPr>
      </w:pPr>
    </w:p>
    <w:p w14:paraId="5BA7BB3E" w14:textId="69B241EF" w:rsidR="002B5543" w:rsidRPr="00283262" w:rsidRDefault="002B5543" w:rsidP="00361C02">
      <w:pPr>
        <w:pStyle w:val="Heading4"/>
        <w:numPr>
          <w:ilvl w:val="0"/>
          <w:numId w:val="27"/>
        </w:numPr>
        <w:rPr>
          <w:lang w:eastAsia="en-GB"/>
        </w:rPr>
      </w:pPr>
      <w:r w:rsidRPr="00283262">
        <w:rPr>
          <w:lang w:eastAsia="en-GB"/>
        </w:rPr>
        <w:t>Multiplying the</w:t>
      </w:r>
      <w:r>
        <w:rPr>
          <w:lang w:eastAsia="en-GB"/>
        </w:rPr>
        <w:t xml:space="preserve"> proxy figures with the number of service users experiencing the outcome</w:t>
      </w:r>
      <w:r w:rsidRPr="00283262">
        <w:rPr>
          <w:lang w:eastAsia="en-GB"/>
        </w:rPr>
        <w:t xml:space="preserve">  </w:t>
      </w:r>
    </w:p>
    <w:p w14:paraId="0D43F56A" w14:textId="7BC34A7F" w:rsidR="002B5543" w:rsidRDefault="002B5543" w:rsidP="00361C02">
      <w:pPr>
        <w:pStyle w:val="ListBullet"/>
        <w:numPr>
          <w:ilvl w:val="0"/>
          <w:numId w:val="31"/>
        </w:numPr>
        <w:rPr>
          <w:lang w:eastAsia="en-GB"/>
        </w:rPr>
      </w:pPr>
      <w:r>
        <w:rPr>
          <w:lang w:eastAsia="en-GB"/>
        </w:rPr>
        <w:t>Once identified, the proxy values were adjusted to be representative of the assumed change occurring on an indicator in a one year period and then multiplied by the number of service users experiencing the outcome (from Step 3 above) – itself a figure derived from multiplying the percentage of those likely to experience the outcome by the total number of service users [</w:t>
      </w:r>
      <w:r>
        <w:rPr>
          <w:rStyle w:val="EndnoteReference"/>
          <w:lang w:eastAsia="en-GB"/>
        </w:rPr>
        <w:endnoteReference w:id="42"/>
      </w:r>
      <w:r>
        <w:rPr>
          <w:lang w:eastAsia="en-GB"/>
        </w:rPr>
        <w:t xml:space="preserve">]. </w:t>
      </w:r>
    </w:p>
    <w:p w14:paraId="7245E50A" w14:textId="662E77A1" w:rsidR="002B5543" w:rsidRDefault="002B5543" w:rsidP="00361C02">
      <w:pPr>
        <w:pStyle w:val="ListBullet"/>
        <w:numPr>
          <w:ilvl w:val="0"/>
          <w:numId w:val="31"/>
        </w:numPr>
        <w:rPr>
          <w:lang w:eastAsia="en-GB"/>
        </w:rPr>
      </w:pPr>
      <w:r>
        <w:rPr>
          <w:lang w:eastAsia="en-GB"/>
        </w:rPr>
        <w:t xml:space="preserve">This multiplication results in a financial value for each of the outcomes that represents the potential costs reduced, avoided or deferred if the outcomes are true for the proportion of service users in the calculations.  </w:t>
      </w:r>
    </w:p>
    <w:p w14:paraId="1FB05938" w14:textId="77777777" w:rsidR="002B5543" w:rsidRDefault="002B5543" w:rsidP="00282B74">
      <w:pPr>
        <w:pStyle w:val="ListBullet"/>
        <w:ind w:left="357"/>
        <w:rPr>
          <w:lang w:eastAsia="en-GB"/>
        </w:rPr>
      </w:pPr>
    </w:p>
    <w:p w14:paraId="550B5996" w14:textId="2AD19866" w:rsidR="002B5543" w:rsidRDefault="002B5543" w:rsidP="00361C02">
      <w:pPr>
        <w:pStyle w:val="Heading4"/>
        <w:numPr>
          <w:ilvl w:val="0"/>
          <w:numId w:val="27"/>
        </w:numPr>
        <w:rPr>
          <w:lang w:eastAsia="en-GB"/>
        </w:rPr>
      </w:pPr>
      <w:r>
        <w:rPr>
          <w:lang w:eastAsia="en-GB"/>
        </w:rPr>
        <w:t xml:space="preserve">Aggregating the financial values for all outcomes </w:t>
      </w:r>
    </w:p>
    <w:p w14:paraId="4B6C1481" w14:textId="4AFDD3FD" w:rsidR="002B5543" w:rsidRDefault="002B5543" w:rsidP="00361C02">
      <w:pPr>
        <w:pStyle w:val="ListBullet"/>
        <w:numPr>
          <w:ilvl w:val="0"/>
          <w:numId w:val="32"/>
        </w:numPr>
        <w:rPr>
          <w:lang w:eastAsia="en-GB"/>
        </w:rPr>
      </w:pPr>
      <w:r>
        <w:rPr>
          <w:lang w:eastAsia="en-GB"/>
        </w:rPr>
        <w:t xml:space="preserve">The final step was to add the financial values generated for each outcome together (having completed Steps 1 through 4 for each) to get a total figure for all outcomes. </w:t>
      </w:r>
    </w:p>
    <w:p w14:paraId="10799921" w14:textId="77777777" w:rsidR="002B5543" w:rsidRDefault="002B5543" w:rsidP="00361C02">
      <w:pPr>
        <w:pStyle w:val="ListBullet"/>
        <w:numPr>
          <w:ilvl w:val="0"/>
          <w:numId w:val="32"/>
        </w:numPr>
        <w:rPr>
          <w:lang w:eastAsia="en-GB"/>
        </w:rPr>
      </w:pPr>
      <w:r>
        <w:rPr>
          <w:lang w:eastAsia="en-GB"/>
        </w:rPr>
        <w:t>We have also produced a sub-total for each of the impact areas (i.e. functional independence, personal safety and so on.)</w:t>
      </w:r>
    </w:p>
    <w:p w14:paraId="3C73D8A6" w14:textId="12E0F914" w:rsidR="002B5543" w:rsidRPr="00B26E8C" w:rsidRDefault="002B5543" w:rsidP="008A230E">
      <w:pPr>
        <w:rPr>
          <w:szCs w:val="28"/>
          <w:lang w:eastAsia="en-GB"/>
        </w:rPr>
      </w:pPr>
    </w:p>
    <w:p w14:paraId="2BA88DD4" w14:textId="009C21A7" w:rsidR="002B5543" w:rsidRPr="00B26E8C" w:rsidRDefault="002B5543" w:rsidP="00456523">
      <w:pPr>
        <w:pStyle w:val="Caption"/>
        <w:keepNext/>
        <w:rPr>
          <w:color w:val="auto"/>
          <w:sz w:val="28"/>
          <w:szCs w:val="28"/>
        </w:rPr>
      </w:pPr>
      <w:r w:rsidRPr="00B26E8C">
        <w:rPr>
          <w:color w:val="auto"/>
          <w:sz w:val="28"/>
          <w:szCs w:val="28"/>
        </w:rPr>
        <w:t xml:space="preserve">Table </w:t>
      </w:r>
      <w:r w:rsidR="003944CD" w:rsidRPr="00B26E8C">
        <w:rPr>
          <w:color w:val="auto"/>
          <w:sz w:val="28"/>
          <w:szCs w:val="28"/>
        </w:rPr>
        <w:fldChar w:fldCharType="begin"/>
      </w:r>
      <w:r w:rsidR="003944CD" w:rsidRPr="00B26E8C">
        <w:rPr>
          <w:color w:val="auto"/>
          <w:sz w:val="28"/>
          <w:szCs w:val="28"/>
        </w:rPr>
        <w:instrText xml:space="preserve"> SEQ Table \* ARABIC </w:instrText>
      </w:r>
      <w:r w:rsidR="003944CD" w:rsidRPr="00B26E8C">
        <w:rPr>
          <w:color w:val="auto"/>
          <w:sz w:val="28"/>
          <w:szCs w:val="28"/>
        </w:rPr>
        <w:fldChar w:fldCharType="separate"/>
      </w:r>
      <w:r w:rsidRPr="00B26E8C">
        <w:rPr>
          <w:noProof/>
          <w:color w:val="auto"/>
          <w:sz w:val="28"/>
          <w:szCs w:val="28"/>
        </w:rPr>
        <w:t>5</w:t>
      </w:r>
      <w:r w:rsidR="003944CD" w:rsidRPr="00B26E8C">
        <w:rPr>
          <w:noProof/>
          <w:color w:val="auto"/>
          <w:sz w:val="28"/>
          <w:szCs w:val="28"/>
        </w:rPr>
        <w:fldChar w:fldCharType="end"/>
      </w:r>
      <w:r w:rsidRPr="00B26E8C">
        <w:rPr>
          <w:color w:val="auto"/>
          <w:sz w:val="28"/>
          <w:szCs w:val="28"/>
        </w:rPr>
        <w:t>: An example of the logical flow from outcome through to the attribution of a financial value to each Sight for Surrey outcomes showcasing how this is done for one outcome. This example is taken from the full tables of outcomes provided in the appendix to this report.</w:t>
      </w:r>
    </w:p>
    <w:tbl>
      <w:tblPr>
        <w:tblStyle w:val="OPMLightListorBo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 An exmple of the logic flow from impact area through to the attribution of a financial value of each Sight for Surrey outcomes showcasing how this is done for one outcome"/>
        <w:tblDescription w:val="This table inlcudes a breakdown of the information needed for each outcome to be able to calculate an accurate financial value for the outcome occcuring. This includes: The impact area; outcome; selected inidicator; supporting evidence for the indicator; selected proxy; proxy source and value; proportion of Sight for Surrey service users likely to experience the outcome and finally the calculation. "/>
      </w:tblPr>
      <w:tblGrid>
        <w:gridCol w:w="1787"/>
        <w:gridCol w:w="7275"/>
      </w:tblGrid>
      <w:tr w:rsidR="002B5543" w14:paraId="1B75DEBF" w14:textId="77777777" w:rsidTr="00B26E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pct"/>
          </w:tcPr>
          <w:p w14:paraId="7AA5B9E2" w14:textId="77777777" w:rsidR="002B5543" w:rsidRPr="00094436" w:rsidRDefault="002B5543" w:rsidP="00526CCF">
            <w:pPr>
              <w:rPr>
                <w:color w:val="auto"/>
                <w:lang w:eastAsia="en-GB"/>
              </w:rPr>
            </w:pPr>
            <w:r w:rsidRPr="00094436">
              <w:rPr>
                <w:color w:val="auto"/>
                <w:lang w:eastAsia="en-GB"/>
              </w:rPr>
              <w:t>Impact area:</w:t>
            </w:r>
          </w:p>
        </w:tc>
        <w:tc>
          <w:tcPr>
            <w:tcW w:w="4014" w:type="pct"/>
          </w:tcPr>
          <w:p w14:paraId="42D90A88" w14:textId="0AF3BC35" w:rsidR="002B5543" w:rsidRPr="00094436" w:rsidRDefault="002B5543">
            <w:pPr>
              <w:cnfStyle w:val="100000000000" w:firstRow="1" w:lastRow="0" w:firstColumn="0" w:lastColumn="0" w:oddVBand="0" w:evenVBand="0" w:oddHBand="0" w:evenHBand="0" w:firstRowFirstColumn="0" w:firstRowLastColumn="0" w:lastRowFirstColumn="0" w:lastRowLastColumn="0"/>
              <w:rPr>
                <w:color w:val="auto"/>
                <w:lang w:eastAsia="en-GB"/>
              </w:rPr>
            </w:pPr>
            <w:r w:rsidRPr="00094436">
              <w:rPr>
                <w:color w:val="auto"/>
                <w:lang w:eastAsia="en-GB"/>
              </w:rPr>
              <w:t>1. Increased functional independence</w:t>
            </w:r>
          </w:p>
        </w:tc>
      </w:tr>
      <w:tr w:rsidR="002B5543" w14:paraId="053709E4" w14:textId="77777777" w:rsidTr="00B26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pct"/>
            <w:tcBorders>
              <w:top w:val="none" w:sz="0" w:space="0" w:color="auto"/>
              <w:left w:val="none" w:sz="0" w:space="0" w:color="auto"/>
              <w:bottom w:val="none" w:sz="0" w:space="0" w:color="auto"/>
            </w:tcBorders>
          </w:tcPr>
          <w:p w14:paraId="13EF08FA" w14:textId="77777777" w:rsidR="002B5543" w:rsidRPr="00880525" w:rsidRDefault="002B5543" w:rsidP="00526CCF">
            <w:pPr>
              <w:rPr>
                <w:b w:val="0"/>
                <w:lang w:eastAsia="en-GB"/>
              </w:rPr>
            </w:pPr>
            <w:r w:rsidRPr="00880525">
              <w:rPr>
                <w:b w:val="0"/>
                <w:lang w:eastAsia="en-GB"/>
              </w:rPr>
              <w:t>Outcome:</w:t>
            </w:r>
          </w:p>
        </w:tc>
        <w:tc>
          <w:tcPr>
            <w:tcW w:w="4014" w:type="pct"/>
            <w:tcBorders>
              <w:top w:val="none" w:sz="0" w:space="0" w:color="auto"/>
              <w:bottom w:val="none" w:sz="0" w:space="0" w:color="auto"/>
              <w:right w:val="none" w:sz="0" w:space="0" w:color="auto"/>
            </w:tcBorders>
          </w:tcPr>
          <w:p w14:paraId="54380C27" w14:textId="57447D5D" w:rsidR="002B5543" w:rsidRDefault="002B5543" w:rsidP="00526CCF">
            <w:pPr>
              <w:cnfStyle w:val="000000100000" w:firstRow="0" w:lastRow="0" w:firstColumn="0" w:lastColumn="0" w:oddVBand="0" w:evenVBand="0" w:oddHBand="1" w:evenHBand="0" w:firstRowFirstColumn="0" w:firstRowLastColumn="0" w:lastRowFirstColumn="0" w:lastRowLastColumn="0"/>
              <w:rPr>
                <w:lang w:eastAsia="en-GB"/>
              </w:rPr>
            </w:pPr>
            <w:r w:rsidRPr="00456523">
              <w:rPr>
                <w:b/>
                <w:lang w:eastAsia="en-GB"/>
              </w:rPr>
              <w:t>c.</w:t>
            </w:r>
            <w:r>
              <w:rPr>
                <w:lang w:eastAsia="en-GB"/>
              </w:rPr>
              <w:t xml:space="preserve"> Increased ability to complete daily living tasks in the home independently and does not require outside assistance</w:t>
            </w:r>
          </w:p>
        </w:tc>
      </w:tr>
      <w:tr w:rsidR="002B5543" w14:paraId="6172D67C" w14:textId="77777777" w:rsidTr="00B26E8C">
        <w:tc>
          <w:tcPr>
            <w:cnfStyle w:val="001000000000" w:firstRow="0" w:lastRow="0" w:firstColumn="1" w:lastColumn="0" w:oddVBand="0" w:evenVBand="0" w:oddHBand="0" w:evenHBand="0" w:firstRowFirstColumn="0" w:firstRowLastColumn="0" w:lastRowFirstColumn="0" w:lastRowLastColumn="0"/>
            <w:tcW w:w="986" w:type="pct"/>
          </w:tcPr>
          <w:p w14:paraId="2B831B83" w14:textId="77777777" w:rsidR="002B5543" w:rsidRPr="00880525" w:rsidRDefault="002B5543" w:rsidP="00526CCF">
            <w:pPr>
              <w:rPr>
                <w:b w:val="0"/>
                <w:lang w:eastAsia="en-GB"/>
              </w:rPr>
            </w:pPr>
            <w:r w:rsidRPr="00880525">
              <w:rPr>
                <w:b w:val="0"/>
                <w:lang w:eastAsia="en-GB"/>
              </w:rPr>
              <w:t>Selected indicator:</w:t>
            </w:r>
          </w:p>
        </w:tc>
        <w:tc>
          <w:tcPr>
            <w:tcW w:w="4014" w:type="pct"/>
          </w:tcPr>
          <w:p w14:paraId="5FC34675" w14:textId="77777777" w:rsidR="002B5543" w:rsidRDefault="002B5543" w:rsidP="00526CCF">
            <w:pPr>
              <w:cnfStyle w:val="000000000000" w:firstRow="0" w:lastRow="0" w:firstColumn="0" w:lastColumn="0" w:oddVBand="0" w:evenVBand="0" w:oddHBand="0" w:evenHBand="0" w:firstRowFirstColumn="0" w:firstRowLastColumn="0" w:lastRowFirstColumn="0" w:lastRowLastColumn="0"/>
              <w:rPr>
                <w:lang w:eastAsia="en-GB"/>
              </w:rPr>
            </w:pPr>
            <w:r w:rsidRPr="00183F02">
              <w:rPr>
                <w:lang w:eastAsia="en-GB"/>
              </w:rPr>
              <w:t>Reduced use of conventional home care services</w:t>
            </w:r>
          </w:p>
        </w:tc>
      </w:tr>
      <w:tr w:rsidR="002B5543" w14:paraId="0A38E4CE" w14:textId="77777777" w:rsidTr="00B26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pct"/>
            <w:tcBorders>
              <w:top w:val="none" w:sz="0" w:space="0" w:color="auto"/>
              <w:left w:val="none" w:sz="0" w:space="0" w:color="auto"/>
              <w:bottom w:val="none" w:sz="0" w:space="0" w:color="auto"/>
            </w:tcBorders>
          </w:tcPr>
          <w:p w14:paraId="0D9B470A" w14:textId="77777777" w:rsidR="002B5543" w:rsidRPr="00B3774A" w:rsidRDefault="002B5543" w:rsidP="00526CCF">
            <w:pPr>
              <w:rPr>
                <w:b w:val="0"/>
                <w:lang w:eastAsia="en-GB"/>
              </w:rPr>
            </w:pPr>
            <w:r>
              <w:rPr>
                <w:b w:val="0"/>
                <w:lang w:eastAsia="en-GB"/>
              </w:rPr>
              <w:t xml:space="preserve">Supporting evidence for the indicator: </w:t>
            </w:r>
          </w:p>
        </w:tc>
        <w:tc>
          <w:tcPr>
            <w:tcW w:w="4014" w:type="pct"/>
            <w:tcBorders>
              <w:top w:val="none" w:sz="0" w:space="0" w:color="auto"/>
              <w:bottom w:val="none" w:sz="0" w:space="0" w:color="auto"/>
              <w:right w:val="none" w:sz="0" w:space="0" w:color="auto"/>
            </w:tcBorders>
          </w:tcPr>
          <w:p w14:paraId="19010501" w14:textId="77777777" w:rsidR="002B5543" w:rsidRDefault="002B5543" w:rsidP="00526CCF">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Few studies have explored the direct and indirect impacts of vision rehabilitation services, however vision rehabilitation is a form of reablement service, for which many studies have identified impacts.</w:t>
            </w:r>
          </w:p>
          <w:p w14:paraId="5729BDF2" w14:textId="2878CEC6" w:rsidR="002B5543" w:rsidRDefault="002B5543" w:rsidP="00526CCF">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A recent review of the reablement literature by the Social Care Institute of Excellence (SCIE) found that 'research evidence demonstrates that reablement improves independence…and removes or reduces the need for commissioned care hours (in comparison with standard home care)’ [</w:t>
            </w:r>
            <w:r>
              <w:rPr>
                <w:rStyle w:val="EndnoteReference"/>
                <w:lang w:eastAsia="en-GB"/>
              </w:rPr>
              <w:endnoteReference w:id="43"/>
            </w:r>
            <w:r>
              <w:rPr>
                <w:lang w:eastAsia="en-GB"/>
              </w:rPr>
              <w:t xml:space="preserve">]. </w:t>
            </w:r>
          </w:p>
          <w:p w14:paraId="7768CACC" w14:textId="47C1DB86" w:rsidR="002B5543" w:rsidRPr="00183F02" w:rsidRDefault="002B5543" w:rsidP="00526CCF">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Among this evidence are several studies that have shown between 58 and 78 per cent of reablement service users require no further home care after a reablement episode [</w:t>
            </w:r>
            <w:r>
              <w:rPr>
                <w:rStyle w:val="EndnoteReference"/>
                <w:lang w:eastAsia="en-GB"/>
              </w:rPr>
              <w:endnoteReference w:id="44"/>
            </w:r>
            <w:r>
              <w:rPr>
                <w:lang w:eastAsia="en-GB"/>
              </w:rPr>
              <w:t>], with one study showing the effect lasting up to 12 months after the reablement episode [</w:t>
            </w:r>
            <w:r>
              <w:rPr>
                <w:rStyle w:val="EndnoteReference"/>
                <w:lang w:eastAsia="en-GB"/>
              </w:rPr>
              <w:endnoteReference w:id="45"/>
            </w:r>
            <w:r>
              <w:rPr>
                <w:lang w:eastAsia="en-GB"/>
              </w:rPr>
              <w:t xml:space="preserve">].  </w:t>
            </w:r>
          </w:p>
        </w:tc>
      </w:tr>
      <w:tr w:rsidR="002B5543" w14:paraId="7B63A730" w14:textId="77777777" w:rsidTr="00B26E8C">
        <w:tc>
          <w:tcPr>
            <w:cnfStyle w:val="001000000000" w:firstRow="0" w:lastRow="0" w:firstColumn="1" w:lastColumn="0" w:oddVBand="0" w:evenVBand="0" w:oddHBand="0" w:evenHBand="0" w:firstRowFirstColumn="0" w:firstRowLastColumn="0" w:lastRowFirstColumn="0" w:lastRowLastColumn="0"/>
            <w:tcW w:w="986" w:type="pct"/>
          </w:tcPr>
          <w:p w14:paraId="43AE6D81" w14:textId="77777777" w:rsidR="002B5543" w:rsidRPr="00880525" w:rsidRDefault="002B5543" w:rsidP="00526CCF">
            <w:pPr>
              <w:rPr>
                <w:b w:val="0"/>
                <w:lang w:eastAsia="en-GB"/>
              </w:rPr>
            </w:pPr>
            <w:r w:rsidRPr="00880525">
              <w:rPr>
                <w:b w:val="0"/>
                <w:lang w:eastAsia="en-GB"/>
              </w:rPr>
              <w:t>Selected proxy:</w:t>
            </w:r>
          </w:p>
        </w:tc>
        <w:tc>
          <w:tcPr>
            <w:tcW w:w="4014" w:type="pct"/>
          </w:tcPr>
          <w:p w14:paraId="15ABD052" w14:textId="77777777" w:rsidR="002B5543" w:rsidRDefault="002B5543" w:rsidP="00526CCF">
            <w:pPr>
              <w:cnfStyle w:val="000000000000" w:firstRow="0" w:lastRow="0" w:firstColumn="0" w:lastColumn="0" w:oddVBand="0" w:evenVBand="0" w:oddHBand="0" w:evenHBand="0" w:firstRowFirstColumn="0" w:firstRowLastColumn="0" w:lastRowFirstColumn="0" w:lastRowLastColumn="0"/>
              <w:rPr>
                <w:lang w:eastAsia="en-GB"/>
              </w:rPr>
            </w:pPr>
            <w:r w:rsidRPr="00183F02">
              <w:rPr>
                <w:lang w:eastAsia="en-GB"/>
              </w:rPr>
              <w:t>Home care costs</w:t>
            </w:r>
          </w:p>
        </w:tc>
      </w:tr>
      <w:tr w:rsidR="002B5543" w14:paraId="0A54150A" w14:textId="77777777" w:rsidTr="00B26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pct"/>
            <w:tcBorders>
              <w:top w:val="none" w:sz="0" w:space="0" w:color="auto"/>
              <w:left w:val="none" w:sz="0" w:space="0" w:color="auto"/>
              <w:bottom w:val="none" w:sz="0" w:space="0" w:color="auto"/>
            </w:tcBorders>
          </w:tcPr>
          <w:p w14:paraId="3911CEA1" w14:textId="77777777" w:rsidR="002B5543" w:rsidRPr="00880525" w:rsidRDefault="002B5543" w:rsidP="00526CCF">
            <w:pPr>
              <w:rPr>
                <w:b w:val="0"/>
                <w:lang w:eastAsia="en-GB"/>
              </w:rPr>
            </w:pPr>
            <w:r w:rsidRPr="00880525">
              <w:rPr>
                <w:b w:val="0"/>
                <w:lang w:eastAsia="en-GB"/>
              </w:rPr>
              <w:t xml:space="preserve">Proxy value and source: </w:t>
            </w:r>
          </w:p>
        </w:tc>
        <w:tc>
          <w:tcPr>
            <w:tcW w:w="4014" w:type="pct"/>
            <w:tcBorders>
              <w:top w:val="none" w:sz="0" w:space="0" w:color="auto"/>
              <w:bottom w:val="none" w:sz="0" w:space="0" w:color="auto"/>
              <w:right w:val="none" w:sz="0" w:space="0" w:color="auto"/>
            </w:tcBorders>
          </w:tcPr>
          <w:p w14:paraId="7B30C96E" w14:textId="77777777" w:rsidR="002B5543" w:rsidRDefault="002B5543" w:rsidP="00526CCF">
            <w:pPr>
              <w:cnfStyle w:val="000000100000" w:firstRow="0" w:lastRow="0" w:firstColumn="0" w:lastColumn="0" w:oddVBand="0" w:evenVBand="0" w:oddHBand="1" w:evenHBand="0" w:firstRowFirstColumn="0" w:firstRowLastColumn="0" w:lastRowFirstColumn="0" w:lastRowLastColumn="0"/>
              <w:rPr>
                <w:lang w:eastAsia="en-GB"/>
              </w:rPr>
            </w:pPr>
            <w:r w:rsidRPr="00B3774A">
              <w:rPr>
                <w:lang w:eastAsia="en-GB"/>
              </w:rPr>
              <w:t>£178 / week</w:t>
            </w:r>
            <w:r>
              <w:rPr>
                <w:lang w:eastAsia="en-GB"/>
              </w:rPr>
              <w:t xml:space="preserve"> (£</w:t>
            </w:r>
            <w:r w:rsidRPr="00892C17">
              <w:rPr>
                <w:lang w:eastAsia="en-GB"/>
              </w:rPr>
              <w:t>9</w:t>
            </w:r>
            <w:r>
              <w:rPr>
                <w:lang w:eastAsia="en-GB"/>
              </w:rPr>
              <w:t>,</w:t>
            </w:r>
            <w:r w:rsidRPr="00892C17">
              <w:rPr>
                <w:lang w:eastAsia="en-GB"/>
              </w:rPr>
              <w:t>256</w:t>
            </w:r>
            <w:r>
              <w:rPr>
                <w:lang w:eastAsia="en-GB"/>
              </w:rPr>
              <w:t xml:space="preserve"> / year)</w:t>
            </w:r>
          </w:p>
          <w:p w14:paraId="19AC8417" w14:textId="5795E445" w:rsidR="002B5543" w:rsidRPr="00183F02" w:rsidRDefault="002B5543" w:rsidP="00526CCF">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 xml:space="preserve">According to a study of homecare provision documented in the PSSRU </w:t>
            </w:r>
            <w:r w:rsidRPr="00880525">
              <w:rPr>
                <w:i/>
                <w:lang w:eastAsia="en-GB"/>
              </w:rPr>
              <w:t>Unit Costs of Health and Social Care 2015</w:t>
            </w:r>
            <w:r>
              <w:rPr>
                <w:i/>
                <w:lang w:eastAsia="en-GB"/>
              </w:rPr>
              <w:t>,</w:t>
            </w:r>
            <w:r>
              <w:rPr>
                <w:lang w:eastAsia="en-GB"/>
              </w:rPr>
              <w:t xml:space="preserve"> t</w:t>
            </w:r>
            <w:r w:rsidRPr="00172059">
              <w:rPr>
                <w:lang w:eastAsia="en-GB"/>
              </w:rPr>
              <w:t>he average cost of home care (across people with a disability with moderate, substantial and critical care needs</w:t>
            </w:r>
            <w:r>
              <w:rPr>
                <w:lang w:eastAsia="en-GB"/>
              </w:rPr>
              <w:t xml:space="preserve">) was £178 (at average of </w:t>
            </w:r>
            <w:r w:rsidRPr="00172059">
              <w:rPr>
                <w:lang w:eastAsia="en-GB"/>
              </w:rPr>
              <w:t xml:space="preserve">9 hours per week). </w:t>
            </w:r>
          </w:p>
        </w:tc>
      </w:tr>
      <w:tr w:rsidR="002B5543" w14:paraId="3A65912F" w14:textId="77777777" w:rsidTr="00B26E8C">
        <w:tc>
          <w:tcPr>
            <w:cnfStyle w:val="001000000000" w:firstRow="0" w:lastRow="0" w:firstColumn="1" w:lastColumn="0" w:oddVBand="0" w:evenVBand="0" w:oddHBand="0" w:evenHBand="0" w:firstRowFirstColumn="0" w:firstRowLastColumn="0" w:lastRowFirstColumn="0" w:lastRowLastColumn="0"/>
            <w:tcW w:w="986" w:type="pct"/>
          </w:tcPr>
          <w:p w14:paraId="56B7DA54" w14:textId="42C783F5" w:rsidR="002B5543" w:rsidRPr="00B3774A" w:rsidRDefault="002B5543" w:rsidP="00526CCF">
            <w:pPr>
              <w:rPr>
                <w:b w:val="0"/>
                <w:lang w:eastAsia="en-GB"/>
              </w:rPr>
            </w:pPr>
            <w:r>
              <w:rPr>
                <w:b w:val="0"/>
                <w:lang w:eastAsia="en-GB"/>
              </w:rPr>
              <w:t xml:space="preserve">Cohort of Sight for Surrey service users likely to experience outcome: </w:t>
            </w:r>
          </w:p>
        </w:tc>
        <w:tc>
          <w:tcPr>
            <w:tcW w:w="4014" w:type="pct"/>
          </w:tcPr>
          <w:p w14:paraId="663F9D1C" w14:textId="77777777" w:rsidR="002B5543" w:rsidRDefault="002B5543" w:rsidP="00526CCF">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68% (0.68)</w:t>
            </w:r>
          </w:p>
          <w:p w14:paraId="317B17C9" w14:textId="77777777" w:rsidR="002B5543" w:rsidRDefault="002B5543" w:rsidP="00526CCF">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 xml:space="preserve">As above, studies have shown that 58 to 78% of reablement service users require no home care after a reablement service – with the effect lasting up to a year. </w:t>
            </w:r>
          </w:p>
          <w:p w14:paraId="5A4C40FA" w14:textId="77777777" w:rsidR="002B5543" w:rsidRPr="00B3774A" w:rsidRDefault="002B5543" w:rsidP="00526CCF">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 xml:space="preserve">We’ve used the midpoint of this range as the basis of the assumption around the proportion of Sight for Surrey service users for whom this outcome may hold true for.  </w:t>
            </w:r>
          </w:p>
        </w:tc>
      </w:tr>
      <w:tr w:rsidR="002B5543" w14:paraId="16DF037D" w14:textId="77777777" w:rsidTr="00B26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pct"/>
            <w:tcBorders>
              <w:top w:val="none" w:sz="0" w:space="0" w:color="auto"/>
              <w:left w:val="none" w:sz="0" w:space="0" w:color="auto"/>
              <w:bottom w:val="none" w:sz="0" w:space="0" w:color="auto"/>
            </w:tcBorders>
          </w:tcPr>
          <w:p w14:paraId="01DAF4B7" w14:textId="3626E111" w:rsidR="002B5543" w:rsidRPr="003C14BE" w:rsidRDefault="002B5543" w:rsidP="00526CCF">
            <w:pPr>
              <w:rPr>
                <w:b w:val="0"/>
                <w:lang w:eastAsia="en-GB"/>
              </w:rPr>
            </w:pPr>
            <w:r w:rsidRPr="003C14BE">
              <w:rPr>
                <w:b w:val="0"/>
                <w:lang w:eastAsia="en-GB"/>
              </w:rPr>
              <w:t>Proportion of the likely cohort who experience the outcome</w:t>
            </w:r>
          </w:p>
        </w:tc>
        <w:tc>
          <w:tcPr>
            <w:tcW w:w="4014" w:type="pct"/>
            <w:tcBorders>
              <w:top w:val="none" w:sz="0" w:space="0" w:color="auto"/>
              <w:bottom w:val="none" w:sz="0" w:space="0" w:color="auto"/>
              <w:right w:val="none" w:sz="0" w:space="0" w:color="auto"/>
            </w:tcBorders>
          </w:tcPr>
          <w:p w14:paraId="180EA927" w14:textId="2630DC5B" w:rsidR="002B5543" w:rsidRPr="001B252B" w:rsidRDefault="002B5543" w:rsidP="00325422">
            <w:pPr>
              <w:cnfStyle w:val="000000100000" w:firstRow="0" w:lastRow="0" w:firstColumn="0" w:lastColumn="0" w:oddVBand="0" w:evenVBand="0" w:oddHBand="1" w:evenHBand="0" w:firstRowFirstColumn="0" w:firstRowLastColumn="0" w:lastRowFirstColumn="0" w:lastRowLastColumn="0"/>
              <w:rPr>
                <w:lang w:eastAsia="en-GB"/>
              </w:rPr>
            </w:pPr>
            <w:r w:rsidRPr="001B252B">
              <w:rPr>
                <w:lang w:eastAsia="en-GB"/>
              </w:rPr>
              <w:t>We recognise that our case study is not a large enough sample to be able to identify the proportion of</w:t>
            </w:r>
            <w:r>
              <w:rPr>
                <w:lang w:eastAsia="en-GB"/>
              </w:rPr>
              <w:t xml:space="preserve"> the likely cohort who actually </w:t>
            </w:r>
            <w:r w:rsidRPr="001B252B">
              <w:rPr>
                <w:lang w:eastAsia="en-GB"/>
              </w:rPr>
              <w:t xml:space="preserve">experience the outcome. </w:t>
            </w:r>
          </w:p>
          <w:p w14:paraId="47EAD44A" w14:textId="76C08D5D" w:rsidR="002B5543" w:rsidRDefault="002B5543" w:rsidP="00325422">
            <w:pPr>
              <w:cnfStyle w:val="000000100000" w:firstRow="0" w:lastRow="0" w:firstColumn="0" w:lastColumn="0" w:oddVBand="0" w:evenVBand="0" w:oddHBand="1" w:evenHBand="0" w:firstRowFirstColumn="0" w:firstRowLastColumn="0" w:lastRowFirstColumn="0" w:lastRowLastColumn="0"/>
              <w:rPr>
                <w:lang w:eastAsia="en-GB"/>
              </w:rPr>
            </w:pPr>
            <w:r w:rsidRPr="001B252B">
              <w:rPr>
                <w:lang w:eastAsia="en-GB"/>
              </w:rPr>
              <w:t>We</w:t>
            </w:r>
            <w:r>
              <w:rPr>
                <w:lang w:eastAsia="en-GB"/>
              </w:rPr>
              <w:t xml:space="preserve"> have</w:t>
            </w:r>
            <w:r w:rsidRPr="001B252B">
              <w:rPr>
                <w:lang w:eastAsia="en-GB"/>
              </w:rPr>
              <w:t xml:space="preserve"> taken a conservative percentile approach to make this calculation – and have chosen the figure 10%</w:t>
            </w:r>
            <w:r>
              <w:rPr>
                <w:lang w:eastAsia="en-GB"/>
              </w:rPr>
              <w:t xml:space="preserve"> (0.1)</w:t>
            </w:r>
            <w:r w:rsidRPr="001B252B">
              <w:rPr>
                <w:lang w:eastAsia="en-GB"/>
              </w:rPr>
              <w:t>.</w:t>
            </w:r>
          </w:p>
        </w:tc>
      </w:tr>
      <w:tr w:rsidR="002B5543" w14:paraId="1A794B42" w14:textId="77777777" w:rsidTr="00B26E8C">
        <w:tc>
          <w:tcPr>
            <w:cnfStyle w:val="001000000000" w:firstRow="0" w:lastRow="0" w:firstColumn="1" w:lastColumn="0" w:oddVBand="0" w:evenVBand="0" w:oddHBand="0" w:evenHBand="0" w:firstRowFirstColumn="0" w:firstRowLastColumn="0" w:lastRowFirstColumn="0" w:lastRowLastColumn="0"/>
            <w:tcW w:w="986" w:type="pct"/>
          </w:tcPr>
          <w:p w14:paraId="657F9429" w14:textId="77777777" w:rsidR="002B5543" w:rsidRDefault="002B5543" w:rsidP="00526CCF">
            <w:pPr>
              <w:rPr>
                <w:b w:val="0"/>
                <w:lang w:eastAsia="en-GB"/>
              </w:rPr>
            </w:pPr>
            <w:r>
              <w:rPr>
                <w:b w:val="0"/>
                <w:lang w:eastAsia="en-GB"/>
              </w:rPr>
              <w:t xml:space="preserve">Calculation: </w:t>
            </w:r>
          </w:p>
        </w:tc>
        <w:tc>
          <w:tcPr>
            <w:tcW w:w="4014" w:type="pct"/>
          </w:tcPr>
          <w:p w14:paraId="33F6972B" w14:textId="371F7C6A" w:rsidR="002B5543" w:rsidRDefault="002B5543" w:rsidP="00526CCF">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w:t>
            </w:r>
            <w:r w:rsidRPr="00892C17">
              <w:rPr>
                <w:lang w:eastAsia="en-GB"/>
              </w:rPr>
              <w:t>9</w:t>
            </w:r>
            <w:r>
              <w:rPr>
                <w:lang w:eastAsia="en-GB"/>
              </w:rPr>
              <w:t>,</w:t>
            </w:r>
            <w:r w:rsidRPr="00892C17">
              <w:rPr>
                <w:lang w:eastAsia="en-GB"/>
              </w:rPr>
              <w:t>256</w:t>
            </w:r>
            <w:r>
              <w:rPr>
                <w:lang w:eastAsia="en-GB"/>
              </w:rPr>
              <w:t xml:space="preserve"> x 0.68 x 0.1 x 702 = </w:t>
            </w:r>
            <w:r w:rsidRPr="00AB0ECC">
              <w:rPr>
                <w:lang w:eastAsia="en-GB"/>
              </w:rPr>
              <w:t>£441</w:t>
            </w:r>
            <w:r w:rsidRPr="001B252B">
              <w:rPr>
                <w:lang w:eastAsia="en-GB"/>
              </w:rPr>
              <w:t>,</w:t>
            </w:r>
            <w:r w:rsidRPr="00AB0ECC">
              <w:rPr>
                <w:lang w:eastAsia="en-GB"/>
              </w:rPr>
              <w:t>844</w:t>
            </w:r>
            <w:r>
              <w:rPr>
                <w:lang w:eastAsia="en-GB"/>
              </w:rPr>
              <w:t xml:space="preserve"> [</w:t>
            </w:r>
            <w:r>
              <w:rPr>
                <w:rStyle w:val="EndnoteReference"/>
                <w:lang w:eastAsia="en-GB"/>
              </w:rPr>
              <w:endnoteReference w:id="46"/>
            </w:r>
            <w:r>
              <w:rPr>
                <w:lang w:eastAsia="en-GB"/>
              </w:rPr>
              <w:t>]</w:t>
            </w:r>
          </w:p>
          <w:p w14:paraId="118E4853" w14:textId="447BCE4E" w:rsidR="002B5543" w:rsidRDefault="002B5543" w:rsidP="00526CCF">
            <w:pPr>
              <w:cnfStyle w:val="000000000000" w:firstRow="0" w:lastRow="0" w:firstColumn="0" w:lastColumn="0" w:oddVBand="0" w:evenVBand="0" w:oddHBand="0" w:evenHBand="0" w:firstRowFirstColumn="0" w:firstRowLastColumn="0" w:lastRowFirstColumn="0" w:lastRowLastColumn="0"/>
              <w:rPr>
                <w:lang w:eastAsia="en-GB"/>
              </w:rPr>
            </w:pPr>
            <w:r w:rsidRPr="001B252B">
              <w:rPr>
                <w:lang w:eastAsia="en-GB"/>
              </w:rPr>
              <w:t xml:space="preserve">This </w:t>
            </w:r>
            <w:r>
              <w:rPr>
                <w:lang w:eastAsia="en-GB"/>
              </w:rPr>
              <w:t xml:space="preserve">calculation suggests that the outcome </w:t>
            </w:r>
            <w:r w:rsidRPr="001B252B">
              <w:rPr>
                <w:lang w:eastAsia="en-GB"/>
              </w:rPr>
              <w:t>hold</w:t>
            </w:r>
            <w:r>
              <w:rPr>
                <w:lang w:eastAsia="en-GB"/>
              </w:rPr>
              <w:t>s</w:t>
            </w:r>
            <w:r w:rsidRPr="001B252B">
              <w:rPr>
                <w:lang w:eastAsia="en-GB"/>
              </w:rPr>
              <w:t xml:space="preserve"> true for 48 of Sight for Surrey’s 702 service users who received a Specialist assessment.</w:t>
            </w:r>
            <w:r>
              <w:rPr>
                <w:sz w:val="32"/>
                <w:lang w:eastAsia="en-GB"/>
              </w:rPr>
              <w:t xml:space="preserve"> </w:t>
            </w:r>
          </w:p>
        </w:tc>
      </w:tr>
    </w:tbl>
    <w:p w14:paraId="77627DB3" w14:textId="151C87DF" w:rsidR="002B5543" w:rsidRDefault="002B5543" w:rsidP="00456523">
      <w:pPr>
        <w:pStyle w:val="Heading3"/>
        <w:rPr>
          <w:lang w:eastAsia="en-GB"/>
        </w:rPr>
      </w:pPr>
      <w:r>
        <w:rPr>
          <w:lang w:eastAsia="en-GB"/>
        </w:rPr>
        <w:t xml:space="preserve">The overall value of Sight for Surrey vision rehabilitation outcomes </w:t>
      </w:r>
    </w:p>
    <w:p w14:paraId="06AFD2B9" w14:textId="77777777" w:rsidR="002B5543" w:rsidRDefault="002B5543" w:rsidP="00AF32EE">
      <w:pPr>
        <w:rPr>
          <w:lang w:eastAsia="en-GB"/>
        </w:rPr>
      </w:pPr>
      <w:r>
        <w:rPr>
          <w:lang w:eastAsia="en-GB"/>
        </w:rPr>
        <w:t xml:space="preserve">Using the approach outlined above, we calculated the potential financial benefits that Sight for Surrey’s vision rehabilitation service contributes in the space of a year within the overarching impact areas (see Table 6 below). These values represent a combination of: </w:t>
      </w:r>
    </w:p>
    <w:p w14:paraId="034236FE" w14:textId="77777777" w:rsidR="002B5543" w:rsidRDefault="002B5543" w:rsidP="00361C02">
      <w:pPr>
        <w:pStyle w:val="ListBullet"/>
        <w:numPr>
          <w:ilvl w:val="0"/>
          <w:numId w:val="33"/>
        </w:numPr>
        <w:rPr>
          <w:lang w:eastAsia="en-GB"/>
        </w:rPr>
      </w:pPr>
      <w:r>
        <w:rPr>
          <w:lang w:eastAsia="en-GB"/>
        </w:rPr>
        <w:t>Costs to the health and social care systems that are reduced, avoided or deferred;</w:t>
      </w:r>
    </w:p>
    <w:p w14:paraId="305602A2" w14:textId="27707488" w:rsidR="002B5543" w:rsidRDefault="002B5543" w:rsidP="00361C02">
      <w:pPr>
        <w:pStyle w:val="ListBullet"/>
        <w:numPr>
          <w:ilvl w:val="0"/>
          <w:numId w:val="33"/>
        </w:numPr>
        <w:rPr>
          <w:lang w:eastAsia="en-GB"/>
        </w:rPr>
      </w:pPr>
      <w:r>
        <w:rPr>
          <w:lang w:eastAsia="en-GB"/>
        </w:rPr>
        <w:t>Reduced or avoided costs that would normally be borne by service users or their families/carers;</w:t>
      </w:r>
    </w:p>
    <w:p w14:paraId="24A2AF30" w14:textId="0E95EC82" w:rsidR="002B5543" w:rsidRDefault="002B5543" w:rsidP="00361C02">
      <w:pPr>
        <w:pStyle w:val="ListBullet"/>
        <w:numPr>
          <w:ilvl w:val="0"/>
          <w:numId w:val="33"/>
        </w:numPr>
        <w:rPr>
          <w:lang w:eastAsia="en-GB"/>
        </w:rPr>
      </w:pPr>
      <w:r>
        <w:rPr>
          <w:lang w:eastAsia="en-GB"/>
        </w:rPr>
        <w:t xml:space="preserve">The financial values associated with positive benefits generated for service users, their families and carers that would otherwise not have occurred. </w:t>
      </w:r>
    </w:p>
    <w:p w14:paraId="38A9BCA7" w14:textId="6687442C" w:rsidR="002B5543" w:rsidRPr="00B26E8C" w:rsidRDefault="002B5543" w:rsidP="000B28B7">
      <w:pPr>
        <w:pStyle w:val="Caption"/>
        <w:keepNext/>
        <w:rPr>
          <w:color w:val="auto"/>
          <w:sz w:val="28"/>
          <w:szCs w:val="28"/>
        </w:rPr>
      </w:pPr>
      <w:r w:rsidRPr="00B26E8C">
        <w:rPr>
          <w:color w:val="auto"/>
          <w:sz w:val="28"/>
          <w:szCs w:val="28"/>
        </w:rPr>
        <w:t xml:space="preserve">Table </w:t>
      </w:r>
      <w:r w:rsidR="003944CD" w:rsidRPr="00B26E8C">
        <w:rPr>
          <w:color w:val="auto"/>
          <w:sz w:val="28"/>
          <w:szCs w:val="28"/>
        </w:rPr>
        <w:fldChar w:fldCharType="begin"/>
      </w:r>
      <w:r w:rsidR="003944CD" w:rsidRPr="00B26E8C">
        <w:rPr>
          <w:color w:val="auto"/>
          <w:sz w:val="28"/>
          <w:szCs w:val="28"/>
        </w:rPr>
        <w:instrText xml:space="preserve"> SEQ Table \* ARABIC </w:instrText>
      </w:r>
      <w:r w:rsidR="003944CD" w:rsidRPr="00B26E8C">
        <w:rPr>
          <w:color w:val="auto"/>
          <w:sz w:val="28"/>
          <w:szCs w:val="28"/>
        </w:rPr>
        <w:fldChar w:fldCharType="separate"/>
      </w:r>
      <w:r w:rsidRPr="00B26E8C">
        <w:rPr>
          <w:noProof/>
          <w:color w:val="auto"/>
          <w:sz w:val="28"/>
          <w:szCs w:val="28"/>
        </w:rPr>
        <w:t>6</w:t>
      </w:r>
      <w:r w:rsidR="003944CD" w:rsidRPr="00B26E8C">
        <w:rPr>
          <w:noProof/>
          <w:color w:val="auto"/>
          <w:sz w:val="28"/>
          <w:szCs w:val="28"/>
        </w:rPr>
        <w:fldChar w:fldCharType="end"/>
      </w:r>
      <w:r w:rsidRPr="00B26E8C">
        <w:rPr>
          <w:color w:val="auto"/>
          <w:sz w:val="28"/>
          <w:szCs w:val="28"/>
        </w:rPr>
        <w:t xml:space="preserve">: The potential financial benefits of/costs avoided by the Sight for Surrey vision rehabilitation service by impact area.  </w:t>
      </w:r>
    </w:p>
    <w:tbl>
      <w:tblPr>
        <w:tblStyle w:val="OPMLightListorBox"/>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he potential financial benefits of/costs avoided by the Sight for Surrey vision rehabilitation service by impact area"/>
        <w:tblDescription w:val="The two columns in this table detail the financial values of each of the four impact areas for Sight for Suurey service users as well as the impact area for their family/carers. The final total across the impact areas is: £32,131,208"/>
      </w:tblPr>
      <w:tblGrid>
        <w:gridCol w:w="5093"/>
        <w:gridCol w:w="3828"/>
      </w:tblGrid>
      <w:tr w:rsidR="002B5543" w:rsidRPr="002766E1" w14:paraId="1A124A79" w14:textId="77777777" w:rsidTr="00B26E8C">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093" w:type="dxa"/>
            <w:noWrap/>
            <w:hideMark/>
          </w:tcPr>
          <w:p w14:paraId="62B714FA" w14:textId="6F66F71A" w:rsidR="002B5543" w:rsidRPr="00456523" w:rsidRDefault="002B5543" w:rsidP="00456523">
            <w:pPr>
              <w:rPr>
                <w:rFonts w:eastAsia="Times New Roman" w:cstheme="minorHAnsi"/>
                <w:color w:val="000000"/>
                <w:lang w:val="en-AU"/>
              </w:rPr>
            </w:pPr>
            <w:r>
              <w:rPr>
                <w:rFonts w:eastAsia="Times New Roman" w:cstheme="minorHAnsi"/>
                <w:color w:val="000000"/>
                <w:lang w:val="en-AU"/>
              </w:rPr>
              <w:t>Impact</w:t>
            </w:r>
            <w:r w:rsidRPr="00456523">
              <w:rPr>
                <w:rFonts w:eastAsia="Times New Roman" w:cstheme="minorHAnsi"/>
                <w:color w:val="000000"/>
                <w:lang w:val="en-AU"/>
              </w:rPr>
              <w:t xml:space="preserve"> area </w:t>
            </w:r>
          </w:p>
        </w:tc>
        <w:tc>
          <w:tcPr>
            <w:tcW w:w="3828" w:type="dxa"/>
            <w:noWrap/>
            <w:hideMark/>
          </w:tcPr>
          <w:p w14:paraId="2F48B2D6" w14:textId="7A2F3DCE" w:rsidR="002B5543" w:rsidRDefault="002B5543" w:rsidP="00456523">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val="en-AU"/>
              </w:rPr>
            </w:pPr>
            <w:r w:rsidRPr="00456523">
              <w:rPr>
                <w:rFonts w:eastAsia="Times New Roman" w:cstheme="minorHAnsi"/>
                <w:color w:val="000000"/>
                <w:lang w:val="en-AU"/>
              </w:rPr>
              <w:t>Potential financial benefit</w:t>
            </w:r>
            <w:r>
              <w:rPr>
                <w:rFonts w:eastAsia="Times New Roman" w:cstheme="minorHAnsi"/>
                <w:color w:val="000000"/>
                <w:lang w:val="en-AU"/>
              </w:rPr>
              <w:t xml:space="preserve"> based on a conservative percentile approach </w:t>
            </w:r>
            <w:r w:rsidRPr="00456523">
              <w:rPr>
                <w:rFonts w:eastAsia="Times New Roman" w:cstheme="minorHAnsi"/>
                <w:color w:val="000000"/>
                <w:lang w:val="en-AU"/>
              </w:rPr>
              <w:t>(2015/16 year)</w:t>
            </w:r>
            <w:r w:rsidRPr="00F83204">
              <w:rPr>
                <w:rFonts w:eastAsia="Times New Roman" w:cstheme="minorHAnsi"/>
                <w:color w:val="auto"/>
                <w:lang w:val="en-AU"/>
              </w:rPr>
              <w:t xml:space="preserve"> </w:t>
            </w:r>
            <w:r w:rsidRPr="00F83204">
              <w:rPr>
                <w:rFonts w:eastAsia="Times New Roman" w:cstheme="minorHAnsi"/>
                <w:b w:val="0"/>
                <w:color w:val="auto"/>
                <w:lang w:val="en-AU"/>
              </w:rPr>
              <w:t>[</w:t>
            </w:r>
            <w:r w:rsidRPr="00F83204">
              <w:rPr>
                <w:rStyle w:val="EndnoteReference"/>
                <w:rFonts w:eastAsia="Times New Roman" w:cstheme="minorHAnsi"/>
                <w:color w:val="auto"/>
                <w:lang w:val="en-AU"/>
              </w:rPr>
              <w:endnoteReference w:id="47"/>
            </w:r>
            <w:r w:rsidRPr="00F83204">
              <w:rPr>
                <w:rFonts w:eastAsia="Times New Roman" w:cstheme="minorHAnsi"/>
                <w:b w:val="0"/>
                <w:color w:val="auto"/>
                <w:lang w:val="en-AU"/>
              </w:rPr>
              <w:t>]</w:t>
            </w:r>
          </w:p>
          <w:p w14:paraId="10229747" w14:textId="109FB5BC" w:rsidR="002B5543" w:rsidRPr="00456523" w:rsidRDefault="002B5543" w:rsidP="00456523">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val="en-AU"/>
              </w:rPr>
            </w:pPr>
            <w:r>
              <w:rPr>
                <w:rFonts w:eastAsia="Times New Roman" w:cstheme="minorHAnsi"/>
                <w:color w:val="000000"/>
                <w:lang w:val="en-AU"/>
              </w:rPr>
              <w:t>Rounded to nearest £</w:t>
            </w:r>
            <w:r w:rsidRPr="00456523">
              <w:rPr>
                <w:rFonts w:eastAsia="Times New Roman" w:cstheme="minorHAnsi"/>
                <w:color w:val="000000"/>
                <w:lang w:val="en-AU"/>
              </w:rPr>
              <w:t xml:space="preserve"> </w:t>
            </w:r>
          </w:p>
        </w:tc>
      </w:tr>
      <w:tr w:rsidR="002B5543" w:rsidRPr="002766E1" w14:paraId="7B78D836" w14:textId="77777777" w:rsidTr="00B26E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093" w:type="dxa"/>
            <w:tcBorders>
              <w:top w:val="none" w:sz="0" w:space="0" w:color="auto"/>
              <w:left w:val="none" w:sz="0" w:space="0" w:color="auto"/>
              <w:bottom w:val="none" w:sz="0" w:space="0" w:color="auto"/>
            </w:tcBorders>
            <w:noWrap/>
          </w:tcPr>
          <w:p w14:paraId="4ABFC8F7" w14:textId="77777777" w:rsidR="002B5543" w:rsidRPr="00456523" w:rsidRDefault="002B5543" w:rsidP="00456523">
            <w:pPr>
              <w:rPr>
                <w:rFonts w:eastAsia="Times New Roman" w:cstheme="minorHAnsi"/>
                <w:color w:val="000000"/>
                <w:lang w:val="en-AU"/>
              </w:rPr>
            </w:pPr>
            <w:r w:rsidRPr="00456523">
              <w:rPr>
                <w:rFonts w:eastAsia="Times New Roman" w:cstheme="minorHAnsi"/>
                <w:color w:val="000000"/>
                <w:lang w:val="en-AU"/>
              </w:rPr>
              <w:t xml:space="preserve">Increased functional independence </w:t>
            </w:r>
          </w:p>
        </w:tc>
        <w:tc>
          <w:tcPr>
            <w:tcW w:w="3828" w:type="dxa"/>
            <w:tcBorders>
              <w:top w:val="none" w:sz="0" w:space="0" w:color="auto"/>
              <w:bottom w:val="none" w:sz="0" w:space="0" w:color="auto"/>
              <w:right w:val="none" w:sz="0" w:space="0" w:color="auto"/>
            </w:tcBorders>
            <w:noWrap/>
          </w:tcPr>
          <w:p w14:paraId="63F65071" w14:textId="616051F0" w:rsidR="002B5543" w:rsidRPr="00733828" w:rsidRDefault="002B5543" w:rsidP="0045652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highlight w:val="yellow"/>
                <w:lang w:val="en-AU"/>
              </w:rPr>
            </w:pPr>
            <w:r w:rsidRPr="001526A7">
              <w:rPr>
                <w:rFonts w:eastAsia="Times New Roman" w:cstheme="minorHAnsi"/>
                <w:color w:val="000000"/>
                <w:lang w:val="en-AU"/>
              </w:rPr>
              <w:t>£2,</w:t>
            </w:r>
            <w:r w:rsidRPr="00733828">
              <w:rPr>
                <w:rFonts w:eastAsia="Times New Roman" w:cstheme="minorHAnsi"/>
                <w:color w:val="000000"/>
                <w:lang w:val="en-AU"/>
              </w:rPr>
              <w:t>860</w:t>
            </w:r>
            <w:r w:rsidRPr="001526A7">
              <w:rPr>
                <w:rFonts w:eastAsia="Times New Roman" w:cstheme="minorHAnsi"/>
                <w:color w:val="000000"/>
                <w:lang w:val="en-AU"/>
              </w:rPr>
              <w:t>,</w:t>
            </w:r>
            <w:r w:rsidRPr="00733828">
              <w:rPr>
                <w:rFonts w:eastAsia="Times New Roman" w:cstheme="minorHAnsi"/>
                <w:color w:val="000000"/>
                <w:lang w:val="en-AU"/>
              </w:rPr>
              <w:t>860</w:t>
            </w:r>
          </w:p>
        </w:tc>
      </w:tr>
      <w:tr w:rsidR="002B5543" w:rsidRPr="002766E1" w14:paraId="2E5FF469" w14:textId="77777777" w:rsidTr="00B26E8C">
        <w:trPr>
          <w:trHeight w:val="280"/>
        </w:trPr>
        <w:tc>
          <w:tcPr>
            <w:cnfStyle w:val="001000000000" w:firstRow="0" w:lastRow="0" w:firstColumn="1" w:lastColumn="0" w:oddVBand="0" w:evenVBand="0" w:oddHBand="0" w:evenHBand="0" w:firstRowFirstColumn="0" w:firstRowLastColumn="0" w:lastRowFirstColumn="0" w:lastRowLastColumn="0"/>
            <w:tcW w:w="5093" w:type="dxa"/>
            <w:noWrap/>
            <w:hideMark/>
          </w:tcPr>
          <w:p w14:paraId="660B95A9" w14:textId="77777777" w:rsidR="002B5543" w:rsidRPr="00456523" w:rsidRDefault="002B5543" w:rsidP="00456523">
            <w:pPr>
              <w:rPr>
                <w:rFonts w:eastAsia="Times New Roman" w:cstheme="minorHAnsi"/>
                <w:color w:val="000000"/>
                <w:lang w:val="en-AU"/>
              </w:rPr>
            </w:pPr>
            <w:r w:rsidRPr="00456523">
              <w:rPr>
                <w:rFonts w:eastAsia="Times New Roman" w:cstheme="minorHAnsi"/>
                <w:color w:val="000000"/>
                <w:lang w:val="en-AU"/>
              </w:rPr>
              <w:t xml:space="preserve">Increased personal safety </w:t>
            </w:r>
          </w:p>
        </w:tc>
        <w:tc>
          <w:tcPr>
            <w:tcW w:w="3828" w:type="dxa"/>
            <w:noWrap/>
            <w:hideMark/>
          </w:tcPr>
          <w:p w14:paraId="7F3BA618" w14:textId="5F5E2E24" w:rsidR="002B5543" w:rsidRPr="00733828" w:rsidRDefault="002B5543" w:rsidP="0045652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highlight w:val="yellow"/>
                <w:lang w:val="en-AU"/>
              </w:rPr>
            </w:pPr>
            <w:r w:rsidRPr="00674D95">
              <w:rPr>
                <w:rFonts w:eastAsia="Times New Roman" w:cstheme="minorHAnsi"/>
                <w:color w:val="000000"/>
                <w:lang w:val="en-AU"/>
              </w:rPr>
              <w:t>£153</w:t>
            </w:r>
            <w:r w:rsidRPr="00733828">
              <w:rPr>
                <w:rFonts w:eastAsia="Times New Roman" w:cstheme="minorHAnsi"/>
                <w:color w:val="000000"/>
                <w:lang w:val="en-AU"/>
              </w:rPr>
              <w:t>,</w:t>
            </w:r>
            <w:r w:rsidRPr="00674D95">
              <w:rPr>
                <w:rFonts w:eastAsia="Times New Roman" w:cstheme="minorHAnsi"/>
                <w:color w:val="000000"/>
                <w:lang w:val="en-AU"/>
              </w:rPr>
              <w:t>23</w:t>
            </w:r>
            <w:r w:rsidRPr="00733828">
              <w:rPr>
                <w:rFonts w:eastAsia="Times New Roman" w:cstheme="minorHAnsi"/>
                <w:color w:val="000000"/>
                <w:lang w:val="en-AU"/>
              </w:rPr>
              <w:t>7</w:t>
            </w:r>
          </w:p>
        </w:tc>
      </w:tr>
      <w:tr w:rsidR="002B5543" w:rsidRPr="002766E1" w14:paraId="326C8811" w14:textId="77777777" w:rsidTr="00B26E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093" w:type="dxa"/>
            <w:tcBorders>
              <w:top w:val="none" w:sz="0" w:space="0" w:color="auto"/>
              <w:left w:val="none" w:sz="0" w:space="0" w:color="auto"/>
              <w:bottom w:val="none" w:sz="0" w:space="0" w:color="auto"/>
            </w:tcBorders>
            <w:noWrap/>
            <w:hideMark/>
          </w:tcPr>
          <w:p w14:paraId="32302634" w14:textId="77777777" w:rsidR="002B5543" w:rsidRPr="00456523" w:rsidRDefault="002B5543" w:rsidP="00456523">
            <w:pPr>
              <w:rPr>
                <w:rFonts w:eastAsia="Times New Roman" w:cstheme="minorHAnsi"/>
                <w:color w:val="000000"/>
                <w:lang w:val="en-AU"/>
              </w:rPr>
            </w:pPr>
            <w:r w:rsidRPr="00456523">
              <w:rPr>
                <w:rFonts w:eastAsia="Times New Roman" w:cstheme="minorHAnsi"/>
                <w:color w:val="000000"/>
                <w:lang w:val="en-AU"/>
              </w:rPr>
              <w:t xml:space="preserve">Improved emotional wellbeing </w:t>
            </w:r>
          </w:p>
        </w:tc>
        <w:tc>
          <w:tcPr>
            <w:tcW w:w="3828" w:type="dxa"/>
            <w:tcBorders>
              <w:top w:val="none" w:sz="0" w:space="0" w:color="auto"/>
              <w:bottom w:val="none" w:sz="0" w:space="0" w:color="auto"/>
              <w:right w:val="none" w:sz="0" w:space="0" w:color="auto"/>
            </w:tcBorders>
            <w:noWrap/>
            <w:hideMark/>
          </w:tcPr>
          <w:p w14:paraId="4EE7EC99" w14:textId="34A654EC" w:rsidR="002B5543" w:rsidRPr="00733828" w:rsidRDefault="002B5543" w:rsidP="0045652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highlight w:val="yellow"/>
                <w:lang w:val="en-AU"/>
              </w:rPr>
            </w:pPr>
            <w:r w:rsidRPr="00B24DC7">
              <w:rPr>
                <w:rFonts w:eastAsia="Times New Roman" w:cstheme="minorHAnsi"/>
                <w:color w:val="000000"/>
                <w:lang w:val="en-AU"/>
              </w:rPr>
              <w:t>£85,3</w:t>
            </w:r>
            <w:r w:rsidRPr="00733828">
              <w:rPr>
                <w:rFonts w:eastAsia="Times New Roman" w:cstheme="minorHAnsi"/>
                <w:color w:val="000000"/>
                <w:lang w:val="en-AU"/>
              </w:rPr>
              <w:t>30</w:t>
            </w:r>
          </w:p>
        </w:tc>
      </w:tr>
      <w:tr w:rsidR="002B5543" w:rsidRPr="002766E1" w14:paraId="47779948" w14:textId="77777777" w:rsidTr="00B26E8C">
        <w:trPr>
          <w:trHeight w:val="280"/>
        </w:trPr>
        <w:tc>
          <w:tcPr>
            <w:cnfStyle w:val="001000000000" w:firstRow="0" w:lastRow="0" w:firstColumn="1" w:lastColumn="0" w:oddVBand="0" w:evenVBand="0" w:oddHBand="0" w:evenHBand="0" w:firstRowFirstColumn="0" w:firstRowLastColumn="0" w:lastRowFirstColumn="0" w:lastRowLastColumn="0"/>
            <w:tcW w:w="5093" w:type="dxa"/>
            <w:noWrap/>
            <w:hideMark/>
          </w:tcPr>
          <w:p w14:paraId="08ACCFE4" w14:textId="77777777" w:rsidR="002B5543" w:rsidRPr="00456523" w:rsidRDefault="002B5543" w:rsidP="00456523">
            <w:pPr>
              <w:rPr>
                <w:rFonts w:eastAsia="Times New Roman" w:cstheme="minorHAnsi"/>
                <w:color w:val="000000"/>
                <w:lang w:val="en-AU"/>
              </w:rPr>
            </w:pPr>
            <w:r w:rsidRPr="00456523">
              <w:rPr>
                <w:rFonts w:eastAsia="Times New Roman" w:cstheme="minorHAnsi"/>
                <w:color w:val="000000"/>
                <w:lang w:val="en-AU"/>
              </w:rPr>
              <w:t>Improved social participation</w:t>
            </w:r>
          </w:p>
        </w:tc>
        <w:tc>
          <w:tcPr>
            <w:tcW w:w="3828" w:type="dxa"/>
            <w:noWrap/>
            <w:hideMark/>
          </w:tcPr>
          <w:p w14:paraId="68B01DE4" w14:textId="1341A76D" w:rsidR="002B5543" w:rsidRPr="00733828" w:rsidRDefault="002B5543" w:rsidP="0045652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highlight w:val="yellow"/>
                <w:lang w:val="en-AU"/>
              </w:rPr>
            </w:pPr>
            <w:r w:rsidRPr="0086553A">
              <w:rPr>
                <w:rFonts w:eastAsia="Times New Roman" w:cstheme="minorHAnsi"/>
                <w:color w:val="000000"/>
                <w:lang w:val="en-AU"/>
              </w:rPr>
              <w:t>£73</w:t>
            </w:r>
            <w:r w:rsidRPr="00733828">
              <w:rPr>
                <w:rFonts w:eastAsia="Times New Roman" w:cstheme="minorHAnsi"/>
                <w:color w:val="000000"/>
                <w:lang w:val="en-AU"/>
              </w:rPr>
              <w:t>,</w:t>
            </w:r>
            <w:r w:rsidRPr="0086553A">
              <w:rPr>
                <w:rFonts w:eastAsia="Times New Roman" w:cstheme="minorHAnsi"/>
                <w:color w:val="000000"/>
                <w:lang w:val="en-AU"/>
              </w:rPr>
              <w:t>83</w:t>
            </w:r>
            <w:r>
              <w:rPr>
                <w:rFonts w:eastAsia="Times New Roman" w:cstheme="minorHAnsi"/>
                <w:color w:val="000000"/>
                <w:lang w:val="en-AU"/>
              </w:rPr>
              <w:t>9</w:t>
            </w:r>
          </w:p>
        </w:tc>
      </w:tr>
      <w:tr w:rsidR="002B5543" w:rsidRPr="002766E1" w14:paraId="29312A80" w14:textId="77777777" w:rsidTr="00B26E8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093" w:type="dxa"/>
            <w:tcBorders>
              <w:top w:val="none" w:sz="0" w:space="0" w:color="auto"/>
              <w:left w:val="none" w:sz="0" w:space="0" w:color="auto"/>
              <w:bottom w:val="none" w:sz="0" w:space="0" w:color="auto"/>
            </w:tcBorders>
            <w:noWrap/>
            <w:hideMark/>
          </w:tcPr>
          <w:p w14:paraId="524036BF" w14:textId="77777777" w:rsidR="002B5543" w:rsidRPr="00456523" w:rsidRDefault="002B5543" w:rsidP="00456523">
            <w:pPr>
              <w:rPr>
                <w:rFonts w:eastAsia="Times New Roman" w:cstheme="minorHAnsi"/>
                <w:color w:val="000000"/>
                <w:lang w:val="en-AU"/>
              </w:rPr>
            </w:pPr>
            <w:r w:rsidRPr="00456523">
              <w:rPr>
                <w:rFonts w:eastAsia="Times New Roman" w:cstheme="minorHAnsi"/>
                <w:color w:val="000000"/>
                <w:lang w:val="en-AU"/>
              </w:rPr>
              <w:t xml:space="preserve">Outcomes for family/carers </w:t>
            </w:r>
          </w:p>
        </w:tc>
        <w:tc>
          <w:tcPr>
            <w:tcW w:w="3828" w:type="dxa"/>
            <w:tcBorders>
              <w:top w:val="none" w:sz="0" w:space="0" w:color="auto"/>
              <w:bottom w:val="none" w:sz="0" w:space="0" w:color="auto"/>
              <w:right w:val="none" w:sz="0" w:space="0" w:color="auto"/>
            </w:tcBorders>
            <w:noWrap/>
            <w:hideMark/>
          </w:tcPr>
          <w:p w14:paraId="6956275E" w14:textId="6D9F0F5C" w:rsidR="002B5543" w:rsidRPr="003A45FB" w:rsidRDefault="002B5543" w:rsidP="0045652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highlight w:val="yellow"/>
                <w:lang w:val="en-AU"/>
              </w:rPr>
            </w:pPr>
            <w:r w:rsidRPr="006E5C00">
              <w:rPr>
                <w:rFonts w:eastAsia="Times New Roman" w:cstheme="minorHAnsi"/>
                <w:color w:val="000000"/>
                <w:lang w:val="en-AU"/>
              </w:rPr>
              <w:t>£250</w:t>
            </w:r>
            <w:r w:rsidRPr="003A45FB">
              <w:rPr>
                <w:rFonts w:eastAsia="Times New Roman" w:cstheme="minorHAnsi"/>
                <w:color w:val="000000"/>
                <w:lang w:val="en-AU"/>
              </w:rPr>
              <w:t>,</w:t>
            </w:r>
            <w:r w:rsidRPr="006E5C00">
              <w:rPr>
                <w:rFonts w:eastAsia="Times New Roman" w:cstheme="minorHAnsi"/>
                <w:color w:val="000000"/>
                <w:lang w:val="en-AU"/>
              </w:rPr>
              <w:t>57</w:t>
            </w:r>
            <w:r w:rsidRPr="003A45FB">
              <w:rPr>
                <w:rFonts w:eastAsia="Times New Roman" w:cstheme="minorHAnsi"/>
                <w:color w:val="000000"/>
                <w:lang w:val="en-AU"/>
              </w:rPr>
              <w:t>9</w:t>
            </w:r>
          </w:p>
        </w:tc>
      </w:tr>
      <w:tr w:rsidR="002B5543" w:rsidRPr="002766E1" w14:paraId="46744484" w14:textId="77777777" w:rsidTr="00361C02">
        <w:trPr>
          <w:trHeight w:val="280"/>
        </w:trPr>
        <w:tc>
          <w:tcPr>
            <w:cnfStyle w:val="001000000000" w:firstRow="0" w:lastRow="0" w:firstColumn="1" w:lastColumn="0" w:oddVBand="0" w:evenVBand="0" w:oddHBand="0" w:evenHBand="0" w:firstRowFirstColumn="0" w:firstRowLastColumn="0" w:lastRowFirstColumn="0" w:lastRowLastColumn="0"/>
            <w:tcW w:w="5093" w:type="dxa"/>
            <w:shd w:val="clear" w:color="auto" w:fill="auto"/>
            <w:noWrap/>
          </w:tcPr>
          <w:p w14:paraId="5E3832CF" w14:textId="091F2215" w:rsidR="002B5543" w:rsidRPr="00456523" w:rsidRDefault="00361C02" w:rsidP="00456523">
            <w:pPr>
              <w:rPr>
                <w:rFonts w:eastAsia="Times New Roman" w:cstheme="minorHAnsi"/>
                <w:color w:val="000000"/>
                <w:lang w:val="en-AU"/>
              </w:rPr>
            </w:pPr>
            <w:r>
              <w:rPr>
                <w:rFonts w:eastAsia="Times New Roman" w:cstheme="minorHAnsi"/>
                <w:color w:val="000000"/>
                <w:lang w:val="en-AU"/>
              </w:rPr>
              <w:t>Total</w:t>
            </w:r>
            <w:r w:rsidR="002B5543">
              <w:rPr>
                <w:rFonts w:eastAsia="Times New Roman" w:cstheme="minorHAnsi"/>
                <w:color w:val="000000"/>
                <w:lang w:val="en-AU"/>
              </w:rPr>
              <w:t xml:space="preserve"> </w:t>
            </w:r>
            <w:r w:rsidR="002B5543" w:rsidRPr="00466977">
              <w:rPr>
                <w:rFonts w:eastAsia="Times New Roman" w:cstheme="minorHAnsi"/>
                <w:b w:val="0"/>
                <w:color w:val="000000"/>
                <w:lang w:val="en-AU"/>
              </w:rPr>
              <w:t>[</w:t>
            </w:r>
            <w:r w:rsidR="002B5543">
              <w:rPr>
                <w:rStyle w:val="EndnoteReference"/>
                <w:rFonts w:eastAsia="Times New Roman" w:cstheme="minorHAnsi"/>
                <w:lang w:val="en-AU"/>
              </w:rPr>
              <w:endnoteReference w:id="48"/>
            </w:r>
            <w:r w:rsidR="002B5543" w:rsidRPr="00466977">
              <w:rPr>
                <w:rFonts w:eastAsia="Times New Roman" w:cstheme="minorHAnsi"/>
                <w:b w:val="0"/>
                <w:color w:val="000000"/>
                <w:lang w:val="en-AU"/>
              </w:rPr>
              <w:t xml:space="preserve">] </w:t>
            </w:r>
          </w:p>
        </w:tc>
        <w:tc>
          <w:tcPr>
            <w:tcW w:w="3828" w:type="dxa"/>
            <w:shd w:val="clear" w:color="auto" w:fill="auto"/>
            <w:noWrap/>
          </w:tcPr>
          <w:p w14:paraId="2D0225E3" w14:textId="78FFD695" w:rsidR="002B5543" w:rsidRPr="003A45FB" w:rsidRDefault="002B5543" w:rsidP="0045652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highlight w:val="yellow"/>
                <w:lang w:val="en-AU"/>
              </w:rPr>
            </w:pPr>
            <w:r w:rsidRPr="00BA157C">
              <w:rPr>
                <w:rFonts w:eastAsia="Times New Roman" w:cstheme="minorHAnsi"/>
                <w:b/>
                <w:bCs/>
                <w:color w:val="000000"/>
                <w:lang w:val="en-AU"/>
              </w:rPr>
              <w:t>£3,</w:t>
            </w:r>
            <w:r>
              <w:rPr>
                <w:rFonts w:eastAsia="Times New Roman" w:cstheme="minorHAnsi"/>
                <w:b/>
                <w:bCs/>
                <w:color w:val="000000"/>
                <w:lang w:val="en-AU"/>
              </w:rPr>
              <w:t>423,844</w:t>
            </w:r>
          </w:p>
        </w:tc>
      </w:tr>
    </w:tbl>
    <w:p w14:paraId="52748AEF" w14:textId="06D60FA7" w:rsidR="002B5543" w:rsidRDefault="002B5543" w:rsidP="00EA3253">
      <w:pPr>
        <w:rPr>
          <w:lang w:eastAsia="en-GB"/>
        </w:rPr>
      </w:pPr>
      <w:r>
        <w:rPr>
          <w:lang w:eastAsia="en-GB"/>
        </w:rPr>
        <w:t xml:space="preserve">The figures in Table 6 are high level and multi-layered; they are therefore further broken down into two components in the proceeding sections of the report. These are: </w:t>
      </w:r>
    </w:p>
    <w:p w14:paraId="681F549D" w14:textId="11BEA57C" w:rsidR="002B5543" w:rsidRDefault="002B5543" w:rsidP="00361C02">
      <w:pPr>
        <w:pStyle w:val="ListBullet"/>
        <w:numPr>
          <w:ilvl w:val="0"/>
          <w:numId w:val="43"/>
        </w:numPr>
        <w:rPr>
          <w:lang w:eastAsia="en-GB"/>
        </w:rPr>
      </w:pPr>
      <w:r>
        <w:rPr>
          <w:lang w:eastAsia="en-GB"/>
        </w:rPr>
        <w:t xml:space="preserve">Avoided costs for the health and social care systems; </w:t>
      </w:r>
    </w:p>
    <w:p w14:paraId="4169D48A" w14:textId="030B7FDE" w:rsidR="002B5543" w:rsidRDefault="002B5543" w:rsidP="00361C02">
      <w:pPr>
        <w:pStyle w:val="ListBullet"/>
        <w:numPr>
          <w:ilvl w:val="0"/>
          <w:numId w:val="43"/>
        </w:numPr>
        <w:rPr>
          <w:lang w:eastAsia="en-GB"/>
        </w:rPr>
      </w:pPr>
      <w:r>
        <w:rPr>
          <w:lang w:eastAsia="en-GB"/>
        </w:rPr>
        <w:t>Avoided costs or positive value generated for service users, their families and carers.</w:t>
      </w:r>
    </w:p>
    <w:p w14:paraId="723EEE08" w14:textId="701F16A1" w:rsidR="002B5543" w:rsidRDefault="002B5543">
      <w:pPr>
        <w:rPr>
          <w:lang w:eastAsia="en-GB"/>
        </w:rPr>
      </w:pPr>
      <w:r>
        <w:rPr>
          <w:lang w:eastAsia="en-GB"/>
        </w:rPr>
        <w:t>Most of the potential value resulting from the Sight for Surrey outcomes that we have identified pertains to costs avoided or deferred in the health and social care systems, with some ‘softer’ outcomes having value generated or costs saved primarily by the service user.</w:t>
      </w:r>
    </w:p>
    <w:p w14:paraId="6678E5E7" w14:textId="37586F78" w:rsidR="002B5543" w:rsidRDefault="002B5543" w:rsidP="00361C02">
      <w:pPr>
        <w:pStyle w:val="Heading3"/>
        <w:numPr>
          <w:ilvl w:val="0"/>
          <w:numId w:val="12"/>
        </w:numPr>
        <w:rPr>
          <w:lang w:eastAsia="en-GB"/>
        </w:rPr>
      </w:pPr>
      <w:r>
        <w:rPr>
          <w:lang w:eastAsia="en-GB"/>
        </w:rPr>
        <w:t xml:space="preserve">Costs reduced, avoided or deferred in health and social care </w:t>
      </w:r>
    </w:p>
    <w:p w14:paraId="6CD88864" w14:textId="4BDA5C79" w:rsidR="002B5543" w:rsidRDefault="002B5543" w:rsidP="008E2D8B">
      <w:pPr>
        <w:rPr>
          <w:lang w:eastAsia="en-GB"/>
        </w:rPr>
      </w:pPr>
      <w:r>
        <w:rPr>
          <w:lang w:eastAsia="en-GB"/>
        </w:rPr>
        <w:t xml:space="preserve">The reduced, avoided or deferred costs that may be experienced </w:t>
      </w:r>
      <w:r w:rsidRPr="00361C02">
        <w:rPr>
          <w:lang w:eastAsia="en-GB"/>
        </w:rPr>
        <w:t>in the health and social care systems</w:t>
      </w:r>
      <w:r>
        <w:rPr>
          <w:lang w:eastAsia="en-GB"/>
        </w:rPr>
        <w:t xml:space="preserve"> as a result of the Sight for Surrey vision rehabilitation service total: </w:t>
      </w:r>
      <w:r w:rsidRPr="00456523">
        <w:rPr>
          <w:b/>
          <w:lang w:eastAsia="en-GB"/>
        </w:rPr>
        <w:t>£</w:t>
      </w:r>
      <w:r>
        <w:rPr>
          <w:b/>
          <w:lang w:eastAsia="en-GB"/>
        </w:rPr>
        <w:t>3,168,022</w:t>
      </w:r>
      <w:r w:rsidRPr="003A45FB">
        <w:rPr>
          <w:lang w:eastAsia="en-GB"/>
        </w:rPr>
        <w:t>.</w:t>
      </w:r>
      <w:r>
        <w:rPr>
          <w:lang w:eastAsia="en-GB"/>
        </w:rPr>
        <w:t xml:space="preserve"> They are summarised in the first table in the appendix of this report (Appendix Table 1) [</w:t>
      </w:r>
      <w:r>
        <w:rPr>
          <w:rStyle w:val="EndnoteReference"/>
          <w:lang w:eastAsia="en-GB"/>
        </w:rPr>
        <w:endnoteReference w:id="49"/>
      </w:r>
      <w:r>
        <w:rPr>
          <w:lang w:eastAsia="en-GB"/>
        </w:rPr>
        <w:t xml:space="preserve">]. </w:t>
      </w:r>
    </w:p>
    <w:p w14:paraId="03B8466C" w14:textId="77777777" w:rsidR="002B5543" w:rsidRDefault="002B5543" w:rsidP="008E2D8B">
      <w:pPr>
        <w:rPr>
          <w:lang w:eastAsia="en-GB"/>
        </w:rPr>
      </w:pPr>
    </w:p>
    <w:p w14:paraId="7F70B6E4" w14:textId="1A7F89AE" w:rsidR="002B5543" w:rsidRDefault="002B5543" w:rsidP="008E2D8B">
      <w:pPr>
        <w:rPr>
          <w:lang w:eastAsia="en-GB"/>
        </w:rPr>
      </w:pPr>
      <w:r>
        <w:rPr>
          <w:lang w:eastAsia="en-GB"/>
        </w:rPr>
        <w:t xml:space="preserve">The table shows the four impact areas that relate to service users (i.e. functional independence; personal safety; emotional wellbeing; social participation) and the outcomes identified for carers (i.e. reduced anxiety about the service user and reduced burden of informal care provision), where costs avoided would accrue to health and social care providers. The table goes through each of the outcomes in the impact areas and, for each outcome, includes: </w:t>
      </w:r>
    </w:p>
    <w:p w14:paraId="7877F9B6" w14:textId="52E451DB" w:rsidR="002B5543" w:rsidRPr="00361C02" w:rsidRDefault="002B5543" w:rsidP="00361C02">
      <w:pPr>
        <w:pStyle w:val="ListParagraph"/>
        <w:numPr>
          <w:ilvl w:val="0"/>
          <w:numId w:val="44"/>
        </w:numPr>
      </w:pPr>
      <w:r w:rsidRPr="00361C02">
        <w:t>The selected indicator;</w:t>
      </w:r>
    </w:p>
    <w:p w14:paraId="488AE043" w14:textId="3819818F" w:rsidR="002B5543" w:rsidRPr="00361C02" w:rsidRDefault="002B5543" w:rsidP="00361C02">
      <w:pPr>
        <w:pStyle w:val="ListParagraph"/>
        <w:numPr>
          <w:ilvl w:val="0"/>
          <w:numId w:val="44"/>
        </w:numPr>
      </w:pPr>
      <w:r w:rsidRPr="00361C02">
        <w:t xml:space="preserve">The selected financial proxy, its value and source; </w:t>
      </w:r>
    </w:p>
    <w:p w14:paraId="458C2C5B" w14:textId="1E79F99F" w:rsidR="002B5543" w:rsidRPr="00361C02" w:rsidRDefault="002B5543" w:rsidP="00361C02">
      <w:pPr>
        <w:pStyle w:val="ListParagraph"/>
        <w:numPr>
          <w:ilvl w:val="0"/>
          <w:numId w:val="44"/>
        </w:numPr>
      </w:pPr>
      <w:r w:rsidRPr="00361C02">
        <w:t>The assumed change on the indicator (if the outcome holds true for one service user)</w:t>
      </w:r>
    </w:p>
    <w:p w14:paraId="287EC2D7" w14:textId="7675FDB9" w:rsidR="002B5543" w:rsidRPr="00361C02" w:rsidRDefault="002B5543" w:rsidP="00361C02">
      <w:pPr>
        <w:pStyle w:val="ListParagraph"/>
        <w:numPr>
          <w:ilvl w:val="0"/>
          <w:numId w:val="44"/>
        </w:numPr>
      </w:pPr>
      <w:r w:rsidRPr="00361C02">
        <w:t xml:space="preserve">The value of the change on the proxy; </w:t>
      </w:r>
    </w:p>
    <w:p w14:paraId="0C198371" w14:textId="41666CFB" w:rsidR="002B5543" w:rsidRPr="00361C02" w:rsidRDefault="002B5543" w:rsidP="00361C02">
      <w:pPr>
        <w:pStyle w:val="ListParagraph"/>
        <w:numPr>
          <w:ilvl w:val="0"/>
          <w:numId w:val="44"/>
        </w:numPr>
      </w:pPr>
      <w:r w:rsidRPr="00361C02">
        <w:t xml:space="preserve">The proportion of Sight for Surrey service users likely to experience the outcome – based on our primary and secondary research (or alternative percentile approach where uncertainty is high); </w:t>
      </w:r>
    </w:p>
    <w:p w14:paraId="7AB28695" w14:textId="06CE2AC6" w:rsidR="002B5543" w:rsidRPr="00361C02" w:rsidRDefault="002B5543" w:rsidP="00361C02">
      <w:pPr>
        <w:pStyle w:val="ListParagraph"/>
        <w:numPr>
          <w:ilvl w:val="0"/>
          <w:numId w:val="44"/>
        </w:numPr>
      </w:pPr>
      <w:r w:rsidRPr="00361C02">
        <w:t xml:space="preserve">Evidence to support the proportion; and, </w:t>
      </w:r>
    </w:p>
    <w:p w14:paraId="3C502252" w14:textId="08CEBF27" w:rsidR="002B5543" w:rsidRPr="00361C02" w:rsidRDefault="002B5543" w:rsidP="00361C02">
      <w:pPr>
        <w:pStyle w:val="ListParagraph"/>
        <w:numPr>
          <w:ilvl w:val="0"/>
          <w:numId w:val="44"/>
        </w:numPr>
      </w:pPr>
      <w:r w:rsidRPr="00361C02">
        <w:t xml:space="preserve">A calculation of the value generated. </w:t>
      </w:r>
    </w:p>
    <w:p w14:paraId="543875C9" w14:textId="5A26E01C" w:rsidR="002B5543" w:rsidRDefault="002B5543" w:rsidP="00456523">
      <w:pPr>
        <w:pStyle w:val="Heading4"/>
        <w:rPr>
          <w:lang w:eastAsia="en-GB"/>
        </w:rPr>
      </w:pPr>
      <w:r w:rsidRPr="003130CA">
        <w:rPr>
          <w:lang w:eastAsia="en-GB"/>
        </w:rPr>
        <w:t>A worked example</w:t>
      </w:r>
    </w:p>
    <w:p w14:paraId="5D7294C7" w14:textId="6F98B266" w:rsidR="002B5543" w:rsidRDefault="002B5543">
      <w:pPr>
        <w:pStyle w:val="ListBullet"/>
        <w:rPr>
          <w:lang w:eastAsia="en-GB"/>
        </w:rPr>
      </w:pPr>
      <w:r>
        <w:rPr>
          <w:lang w:eastAsia="en-GB"/>
        </w:rPr>
        <w:t xml:space="preserve">The details of how the calculations were made for one outcome are laid out below to demonstrate how to interpret the information in the table in the appendix.  </w:t>
      </w:r>
    </w:p>
    <w:p w14:paraId="5000F129" w14:textId="77777777" w:rsidR="002B5543" w:rsidRDefault="002B5543">
      <w:pPr>
        <w:pStyle w:val="ListBullet"/>
        <w:rPr>
          <w:lang w:eastAsia="en-GB"/>
        </w:rPr>
      </w:pPr>
    </w:p>
    <w:p w14:paraId="2FB42647" w14:textId="0FD64796" w:rsidR="002B5543" w:rsidRDefault="002B5543">
      <w:pPr>
        <w:pStyle w:val="ListBullet"/>
      </w:pPr>
      <w:r>
        <w:rPr>
          <w:lang w:eastAsia="en-GB"/>
        </w:rPr>
        <w:t xml:space="preserve">The first outcome highlighted in Appendix Table 1 (also shown in Table 7 below) pertains to the transport component of functional independence. The outcome </w:t>
      </w:r>
      <w:r w:rsidRPr="00456523">
        <w:t xml:space="preserve">is: </w:t>
      </w:r>
      <w:r>
        <w:t>‘</w:t>
      </w:r>
      <w:r w:rsidRPr="00456523">
        <w:t>Improved ability to travel (alone) outside of the house in local area</w:t>
      </w:r>
      <w:r>
        <w:t xml:space="preserve">’ which was heard to be an outcome for Sight for Surrey clients through the interview process, particularly for those in the younger age bracket (65 years or younger). </w:t>
      </w:r>
    </w:p>
    <w:p w14:paraId="2A84F034" w14:textId="77777777" w:rsidR="002B5543" w:rsidRDefault="002B5543">
      <w:pPr>
        <w:pStyle w:val="ListBullet"/>
      </w:pPr>
    </w:p>
    <w:p w14:paraId="572DBD96" w14:textId="063E9336" w:rsidR="002B5543" w:rsidRDefault="002B5543">
      <w:pPr>
        <w:pStyle w:val="ListBullet"/>
        <w:rPr>
          <w:lang w:eastAsia="en-GB"/>
        </w:rPr>
      </w:pPr>
      <w:r>
        <w:rPr>
          <w:lang w:eastAsia="en-GB"/>
        </w:rPr>
        <w:t>Substantial published evidence supports this finding, suggesting that transport is an important factor for disabled people to live independently. Research on disabled people’s experiences of choice and control in their lives noted that transport was one of the issues most frequently mentioned (Office for Disability Issues, 2010); the Life Opportunities Survey (2009-11) reported that 17% of unemployed disabled people experienced transport barriers [</w:t>
      </w:r>
      <w:r w:rsidRPr="00B52075">
        <w:rPr>
          <w:rStyle w:val="EndnoteReference"/>
        </w:rPr>
        <w:endnoteReference w:id="50"/>
      </w:r>
      <w:r>
        <w:rPr>
          <w:lang w:eastAsia="en-GB"/>
        </w:rPr>
        <w:t>]; and The Papworth Trust found working-age adults with an impairment to be more likely to experience transport barriers than other ages [</w:t>
      </w:r>
      <w:r w:rsidRPr="00B52075">
        <w:rPr>
          <w:rStyle w:val="EndnoteReference"/>
        </w:rPr>
        <w:endnoteReference w:id="51"/>
      </w:r>
      <w:r>
        <w:rPr>
          <w:lang w:eastAsia="en-GB"/>
        </w:rPr>
        <w:t>].</w:t>
      </w:r>
    </w:p>
    <w:p w14:paraId="42EB203A" w14:textId="77777777" w:rsidR="002B5543" w:rsidRDefault="002B5543">
      <w:pPr>
        <w:pStyle w:val="ListBullet"/>
        <w:rPr>
          <w:lang w:eastAsia="en-GB"/>
        </w:rPr>
      </w:pPr>
    </w:p>
    <w:p w14:paraId="2BC417A4" w14:textId="6ECCB5BD" w:rsidR="002B5543" w:rsidRDefault="002B5543" w:rsidP="001C092B">
      <w:pPr>
        <w:pStyle w:val="ListBullet"/>
        <w:rPr>
          <w:lang w:eastAsia="en-GB"/>
        </w:rPr>
      </w:pPr>
      <w:r>
        <w:rPr>
          <w:lang w:eastAsia="en-GB"/>
        </w:rPr>
        <w:t xml:space="preserve">The indicator chosen for this outcome is: </w:t>
      </w:r>
      <w:r w:rsidRPr="001C092B">
        <w:rPr>
          <w:lang w:eastAsia="en-GB"/>
        </w:rPr>
        <w:t>Reduced reliance on family members/carers for transport. This is supported by research indicating that</w:t>
      </w:r>
      <w:r>
        <w:rPr>
          <w:lang w:eastAsia="en-GB"/>
        </w:rPr>
        <w:t xml:space="preserve"> disabled people in England and Wales travel a third less often than the general public, and that cars are key to their mobility, with the most common mode of transport being a car driven by someone else (such as a family member or friend) [</w:t>
      </w:r>
      <w:r w:rsidRPr="00B52075">
        <w:rPr>
          <w:rStyle w:val="EndnoteReference"/>
        </w:rPr>
        <w:endnoteReference w:id="52"/>
      </w:r>
      <w:r>
        <w:rPr>
          <w:lang w:eastAsia="en-GB"/>
        </w:rPr>
        <w:t xml:space="preserve">]; disabled people also use buses, taxis and minicabs more often than the general public. </w:t>
      </w:r>
    </w:p>
    <w:p w14:paraId="5F7D24C5" w14:textId="77777777" w:rsidR="002B5543" w:rsidRDefault="002B5543" w:rsidP="001C092B">
      <w:pPr>
        <w:pStyle w:val="ListBullet"/>
        <w:rPr>
          <w:lang w:eastAsia="en-GB"/>
        </w:rPr>
      </w:pPr>
    </w:p>
    <w:p w14:paraId="19862F32" w14:textId="6B7029C6" w:rsidR="002B5543" w:rsidRDefault="002B5543" w:rsidP="00CD43DB">
      <w:pPr>
        <w:rPr>
          <w:lang w:eastAsia="en-GB"/>
        </w:rPr>
      </w:pPr>
      <w:r>
        <w:rPr>
          <w:lang w:eastAsia="en-GB"/>
        </w:rPr>
        <w:t>As the indicator has no clear market value, a proxy was selected to represent the costs that would be avoided if reliance on driving trips by friends and family were reduced. We chose to use the cost of community transport trips as the proxy as, while diverse user groups access community transport, the key beneficiaries of these services include people with restricted mobility, with 85% of community transport providers reporting working with people with restricted mobility in 2014 [</w:t>
      </w:r>
      <w:r w:rsidRPr="00B52075">
        <w:rPr>
          <w:rStyle w:val="EndnoteReference"/>
        </w:rPr>
        <w:endnoteReference w:id="53"/>
      </w:r>
      <w:r>
        <w:rPr>
          <w:lang w:eastAsia="en-GB"/>
        </w:rPr>
        <w:t>]</w:t>
      </w:r>
      <w:r w:rsidRPr="001C092B">
        <w:rPr>
          <w:lang w:eastAsia="en-GB"/>
        </w:rPr>
        <w:t>.</w:t>
      </w:r>
      <w:r>
        <w:rPr>
          <w:lang w:eastAsia="en-GB"/>
        </w:rPr>
        <w:t xml:space="preserve"> </w:t>
      </w:r>
    </w:p>
    <w:p w14:paraId="48FF7269" w14:textId="77777777" w:rsidR="002B5543" w:rsidRDefault="002B5543" w:rsidP="00CD43DB">
      <w:pPr>
        <w:rPr>
          <w:lang w:eastAsia="en-GB"/>
        </w:rPr>
      </w:pPr>
    </w:p>
    <w:p w14:paraId="50C34351" w14:textId="26CB0A50" w:rsidR="002B5543" w:rsidRDefault="002B5543" w:rsidP="00CD43DB">
      <w:pPr>
        <w:rPr>
          <w:lang w:eastAsia="en-GB"/>
        </w:rPr>
      </w:pPr>
      <w:r>
        <w:rPr>
          <w:lang w:eastAsia="en-GB"/>
        </w:rPr>
        <w:t>Our assumption that a change on the indicator would mean two fewer community transport trips per week is a conservative assumption based on 78% of community transport journeys being carried out to take people to social outings; 73% for health-related trips, 68% for shopping, 65% for accessing community activities and 64 per cent to take people to day care centres [</w:t>
      </w:r>
      <w:r>
        <w:rPr>
          <w:rStyle w:val="EndnoteReference"/>
          <w:lang w:eastAsia="en-GB"/>
        </w:rPr>
        <w:endnoteReference w:id="54"/>
      </w:r>
      <w:r>
        <w:rPr>
          <w:lang w:eastAsia="en-GB"/>
        </w:rPr>
        <w:t xml:space="preserve">] – all activities that could feasibly be necessary to travel for two or more times in a week. </w:t>
      </w:r>
    </w:p>
    <w:p w14:paraId="4F3F29EF" w14:textId="77777777" w:rsidR="002B5543" w:rsidRDefault="002B5543" w:rsidP="00CD43DB">
      <w:pPr>
        <w:rPr>
          <w:lang w:eastAsia="en-GB"/>
        </w:rPr>
      </w:pPr>
    </w:p>
    <w:p w14:paraId="680A861C" w14:textId="6756A9F9" w:rsidR="002B5543" w:rsidRDefault="002B5543" w:rsidP="00456523">
      <w:pPr>
        <w:rPr>
          <w:lang w:eastAsia="en-GB"/>
        </w:rPr>
      </w:pPr>
      <w:r>
        <w:rPr>
          <w:lang w:eastAsia="en-GB"/>
        </w:rPr>
        <w:t>Age Scotland found the fare charged to a service user for an average community transport trip was £3.20. However, community transport providers only pass on 10-20% of the true cost of the service to the service user, with the provider or commissioning authority subsidising the rest [</w:t>
      </w:r>
      <w:r w:rsidRPr="003F1B3C">
        <w:rPr>
          <w:rStyle w:val="EndnoteReference"/>
        </w:rPr>
        <w:endnoteReference w:id="55"/>
      </w:r>
      <w:r>
        <w:rPr>
          <w:lang w:eastAsia="en-GB"/>
        </w:rPr>
        <w:t>]. We have therefore used the proxy figure of £19.80 per trip (85% of the true cost of a trip because this is what is charged to the commissioning authority) which translates to a change of £2,059 per year when accounting for two fewer trips per week</w:t>
      </w:r>
      <w:r w:rsidRPr="001B4B68">
        <w:rPr>
          <w:lang w:eastAsia="en-GB"/>
        </w:rPr>
        <w:t xml:space="preserve">. </w:t>
      </w:r>
    </w:p>
    <w:p w14:paraId="1B41224D" w14:textId="77777777" w:rsidR="002B5543" w:rsidRDefault="002B5543" w:rsidP="00456523">
      <w:pPr>
        <w:rPr>
          <w:lang w:eastAsia="en-GB"/>
        </w:rPr>
      </w:pPr>
    </w:p>
    <w:p w14:paraId="0BFDB9EC" w14:textId="4DDAC2C4" w:rsidR="002B5543" w:rsidRDefault="002B5543" w:rsidP="00456523">
      <w:pPr>
        <w:rPr>
          <w:lang w:eastAsia="en-GB"/>
        </w:rPr>
      </w:pPr>
      <w:r>
        <w:rPr>
          <w:lang w:eastAsia="en-GB"/>
        </w:rPr>
        <w:t xml:space="preserve">Our primary and secondary research suggests that </w:t>
      </w:r>
      <w:r w:rsidRPr="00181266">
        <w:rPr>
          <w:lang w:eastAsia="en-GB"/>
        </w:rPr>
        <w:t xml:space="preserve">this outcome pertains more so to people in the younger age bracket, </w:t>
      </w:r>
      <w:r>
        <w:rPr>
          <w:lang w:eastAsia="en-GB"/>
        </w:rPr>
        <w:t>therefore we assume</w:t>
      </w:r>
      <w:r w:rsidRPr="00181266">
        <w:rPr>
          <w:lang w:eastAsia="en-GB"/>
        </w:rPr>
        <w:t xml:space="preserve"> that thi</w:t>
      </w:r>
      <w:r>
        <w:rPr>
          <w:lang w:eastAsia="en-GB"/>
        </w:rPr>
        <w:t xml:space="preserve">s outcome is more likely to </w:t>
      </w:r>
      <w:r w:rsidRPr="00181266">
        <w:rPr>
          <w:lang w:eastAsia="en-GB"/>
        </w:rPr>
        <w:t xml:space="preserve">hold true for 16% of Sight for Surrey service users - the proportion who were 65 years of age or under. This is 112 </w:t>
      </w:r>
      <w:r>
        <w:rPr>
          <w:lang w:eastAsia="en-GB"/>
        </w:rPr>
        <w:t>of the 702 clients seen by Sight for Surrey in 2015/16</w:t>
      </w:r>
      <w:r w:rsidRPr="00181266">
        <w:rPr>
          <w:lang w:eastAsia="en-GB"/>
        </w:rPr>
        <w:t xml:space="preserve">. </w:t>
      </w:r>
    </w:p>
    <w:p w14:paraId="5C6EA76D" w14:textId="77777777" w:rsidR="002B5543" w:rsidRDefault="002B5543" w:rsidP="00456523">
      <w:pPr>
        <w:rPr>
          <w:lang w:eastAsia="en-GB"/>
        </w:rPr>
      </w:pPr>
    </w:p>
    <w:p w14:paraId="6248A3D3" w14:textId="72F494C8" w:rsidR="004E614F" w:rsidRPr="004E614F" w:rsidRDefault="002B5543" w:rsidP="004E614F">
      <w:pPr>
        <w:rPr>
          <w:lang w:eastAsia="en-GB"/>
        </w:rPr>
      </w:pPr>
      <w:r>
        <w:rPr>
          <w:lang w:eastAsia="en-GB"/>
        </w:rPr>
        <w:t>It is not realistic to assume that the entire younger cohort who received the Sight for Surrey vision rehabilitation service would experience this outcome, so we have taken a conservative ‘percentile approach’ to demonstrate the value of this outcome, making the financial calculation based on 10% of the younger cohort experiencing it. Therefore, t</w:t>
      </w:r>
      <w:r w:rsidRPr="00181266">
        <w:rPr>
          <w:lang w:eastAsia="en-GB"/>
        </w:rPr>
        <w:t xml:space="preserve">he </w:t>
      </w:r>
      <w:r>
        <w:rPr>
          <w:lang w:eastAsia="en-GB"/>
        </w:rPr>
        <w:t>figure 112 (16% of 702) was multiplied by 0.1 and then by £2,059</w:t>
      </w:r>
      <w:r w:rsidRPr="00181266">
        <w:rPr>
          <w:lang w:eastAsia="en-GB"/>
        </w:rPr>
        <w:t xml:space="preserve"> for a financial value for this outcome </w:t>
      </w:r>
      <w:r w:rsidRPr="003130CA">
        <w:rPr>
          <w:lang w:eastAsia="en-GB"/>
        </w:rPr>
        <w:t xml:space="preserve">of </w:t>
      </w:r>
      <w:r w:rsidRPr="003A45FB">
        <w:rPr>
          <w:lang w:eastAsia="en-GB"/>
        </w:rPr>
        <w:t>£23</w:t>
      </w:r>
      <w:r w:rsidRPr="003130CA">
        <w:rPr>
          <w:lang w:eastAsia="en-GB"/>
        </w:rPr>
        <w:t>,129</w:t>
      </w:r>
      <w:r w:rsidRPr="003A45FB">
        <w:rPr>
          <w:lang w:eastAsia="en-GB"/>
        </w:rPr>
        <w:t>.</w:t>
      </w:r>
    </w:p>
    <w:p w14:paraId="6745B3C9" w14:textId="685EF531" w:rsidR="005A2A0F" w:rsidRDefault="005A2A0F" w:rsidP="005A2A0F">
      <w:pPr>
        <w:pStyle w:val="Caption"/>
        <w:keepNext/>
        <w:rPr>
          <w:color w:val="auto"/>
          <w:sz w:val="28"/>
          <w:szCs w:val="28"/>
        </w:rPr>
      </w:pPr>
      <w:r w:rsidRPr="00A53B55">
        <w:rPr>
          <w:color w:val="auto"/>
          <w:sz w:val="28"/>
          <w:szCs w:val="28"/>
        </w:rPr>
        <w:t xml:space="preserve">Table </w:t>
      </w:r>
      <w:r w:rsidRPr="00A53B55">
        <w:rPr>
          <w:color w:val="auto"/>
          <w:sz w:val="28"/>
          <w:szCs w:val="28"/>
        </w:rPr>
        <w:fldChar w:fldCharType="begin"/>
      </w:r>
      <w:r w:rsidRPr="00A53B55">
        <w:rPr>
          <w:color w:val="auto"/>
          <w:sz w:val="28"/>
          <w:szCs w:val="28"/>
        </w:rPr>
        <w:instrText xml:space="preserve"> SEQ Table \* ARABIC </w:instrText>
      </w:r>
      <w:r w:rsidRPr="00A53B55">
        <w:rPr>
          <w:color w:val="auto"/>
          <w:sz w:val="28"/>
          <w:szCs w:val="28"/>
        </w:rPr>
        <w:fldChar w:fldCharType="separate"/>
      </w:r>
      <w:r w:rsidRPr="00A53B55">
        <w:rPr>
          <w:noProof/>
          <w:color w:val="auto"/>
          <w:sz w:val="28"/>
          <w:szCs w:val="28"/>
        </w:rPr>
        <w:t>7</w:t>
      </w:r>
      <w:r w:rsidRPr="00A53B55">
        <w:rPr>
          <w:noProof/>
          <w:color w:val="auto"/>
          <w:sz w:val="28"/>
          <w:szCs w:val="28"/>
        </w:rPr>
        <w:fldChar w:fldCharType="end"/>
      </w:r>
      <w:r w:rsidRPr="00A53B55">
        <w:rPr>
          <w:color w:val="auto"/>
          <w:sz w:val="28"/>
          <w:szCs w:val="28"/>
        </w:rPr>
        <w:t xml:space="preserve">: Demonstrating how value is calculated for an outcome where costs are avoided by the health and social care sector.  Impact Area 1. </w:t>
      </w:r>
      <w:r w:rsidR="00A53B55" w:rsidRPr="00A53B55">
        <w:rPr>
          <w:color w:val="auto"/>
          <w:sz w:val="28"/>
          <w:szCs w:val="28"/>
        </w:rPr>
        <w:t xml:space="preserve"> Functional Impendence</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A2A0F" w14:paraId="507B58BB" w14:textId="77777777" w:rsidTr="00671C15">
        <w:tc>
          <w:tcPr>
            <w:tcW w:w="4531" w:type="dxa"/>
          </w:tcPr>
          <w:p w14:paraId="4964AC8E" w14:textId="7BCB0132" w:rsidR="005A2A0F" w:rsidRDefault="00A53B55" w:rsidP="005A2A0F">
            <w:r>
              <w:t>Outcome</w:t>
            </w:r>
          </w:p>
        </w:tc>
        <w:tc>
          <w:tcPr>
            <w:tcW w:w="4531" w:type="dxa"/>
          </w:tcPr>
          <w:p w14:paraId="363CAB10" w14:textId="28E36CD0" w:rsidR="005A2A0F" w:rsidRDefault="004E614F" w:rsidP="005A2A0F">
            <w:r w:rsidRPr="00B26E8C">
              <w:rPr>
                <w:szCs w:val="28"/>
                <w:lang w:val="en-AU"/>
              </w:rPr>
              <w:t>a. Improved ability to travel (alone) outside of the house in local area</w:t>
            </w:r>
          </w:p>
        </w:tc>
      </w:tr>
      <w:tr w:rsidR="005A2A0F" w14:paraId="1DA0CCD9" w14:textId="77777777" w:rsidTr="00671C15">
        <w:tc>
          <w:tcPr>
            <w:tcW w:w="4531" w:type="dxa"/>
          </w:tcPr>
          <w:p w14:paraId="2707E88F" w14:textId="7246E2D7" w:rsidR="005A2A0F" w:rsidRDefault="00A53B55" w:rsidP="005A2A0F">
            <w:r>
              <w:t>Indicator</w:t>
            </w:r>
          </w:p>
        </w:tc>
        <w:tc>
          <w:tcPr>
            <w:tcW w:w="4531" w:type="dxa"/>
          </w:tcPr>
          <w:p w14:paraId="75717BA1" w14:textId="745D6D1F" w:rsidR="005A2A0F" w:rsidRDefault="004E614F" w:rsidP="005A2A0F">
            <w:r w:rsidRPr="00B26E8C">
              <w:rPr>
                <w:szCs w:val="28"/>
                <w:lang w:val="en-AU"/>
              </w:rPr>
              <w:t>Reduced reliance on family members / carers for transport</w:t>
            </w:r>
          </w:p>
        </w:tc>
      </w:tr>
      <w:tr w:rsidR="005A2A0F" w14:paraId="7869143D" w14:textId="77777777" w:rsidTr="00671C15">
        <w:tc>
          <w:tcPr>
            <w:tcW w:w="4531" w:type="dxa"/>
          </w:tcPr>
          <w:p w14:paraId="3CDF4FF6" w14:textId="3BC8E21A" w:rsidR="005A2A0F" w:rsidRDefault="00A53B55" w:rsidP="005A2A0F">
            <w:r>
              <w:t>Proxy; Proxy Value; Source</w:t>
            </w:r>
          </w:p>
        </w:tc>
        <w:tc>
          <w:tcPr>
            <w:tcW w:w="4531" w:type="dxa"/>
          </w:tcPr>
          <w:p w14:paraId="5E0B73DF" w14:textId="5B60D4E0" w:rsidR="005A2A0F" w:rsidRDefault="004E614F" w:rsidP="004E614F">
            <w:r w:rsidRPr="00B26E8C">
              <w:rPr>
                <w:szCs w:val="28"/>
                <w:lang w:val="en-AU"/>
              </w:rPr>
              <w:t>Community transport costs</w:t>
            </w:r>
            <w:r>
              <w:rPr>
                <w:szCs w:val="28"/>
                <w:lang w:val="en-AU"/>
              </w:rPr>
              <w:t xml:space="preserve"> </w:t>
            </w:r>
            <w:r w:rsidRPr="00B26E8C">
              <w:rPr>
                <w:szCs w:val="28"/>
                <w:lang w:val="en-AU"/>
              </w:rPr>
              <w:t>£19.80 per trip</w:t>
            </w:r>
            <w:r>
              <w:rPr>
                <w:szCs w:val="28"/>
                <w:lang w:val="en-AU"/>
              </w:rPr>
              <w:t xml:space="preserve"> (Age Scotland</w:t>
            </w:r>
            <w:r w:rsidRPr="00B26E8C">
              <w:rPr>
                <w:szCs w:val="28"/>
                <w:lang w:val="en-AU"/>
              </w:rPr>
              <w:t xml:space="preserve"> 2013</w:t>
            </w:r>
            <w:r>
              <w:rPr>
                <w:szCs w:val="28"/>
                <w:lang w:val="en-AU"/>
              </w:rPr>
              <w:t>)</w:t>
            </w:r>
            <w:r w:rsidRPr="00B26E8C">
              <w:rPr>
                <w:szCs w:val="28"/>
                <w:lang w:val="en-AU"/>
              </w:rPr>
              <w:t>.</w:t>
            </w:r>
          </w:p>
        </w:tc>
      </w:tr>
      <w:tr w:rsidR="005A2A0F" w14:paraId="2F939D63" w14:textId="77777777" w:rsidTr="00671C15">
        <w:tc>
          <w:tcPr>
            <w:tcW w:w="4531" w:type="dxa"/>
          </w:tcPr>
          <w:p w14:paraId="723A6D61" w14:textId="6553293A" w:rsidR="005A2A0F" w:rsidRDefault="00A53B55" w:rsidP="005A2A0F">
            <w:r>
              <w:t xml:space="preserve">Assumed change on </w:t>
            </w:r>
            <w:r w:rsidR="00F422AB">
              <w:t>indicator</w:t>
            </w:r>
          </w:p>
        </w:tc>
        <w:tc>
          <w:tcPr>
            <w:tcW w:w="4531" w:type="dxa"/>
          </w:tcPr>
          <w:p w14:paraId="60F8EDA8" w14:textId="77777777" w:rsidR="004E614F" w:rsidRPr="00B26E8C" w:rsidRDefault="004E614F" w:rsidP="004E614F">
            <w:pPr>
              <w:rPr>
                <w:szCs w:val="28"/>
                <w:lang w:val="en-AU"/>
              </w:rPr>
            </w:pPr>
            <w:r w:rsidRPr="00B26E8C">
              <w:rPr>
                <w:szCs w:val="28"/>
                <w:lang w:val="en-AU"/>
              </w:rPr>
              <w:t xml:space="preserve">The majority of community transport trips are for social outings, shopping and health appointments. </w:t>
            </w:r>
          </w:p>
          <w:p w14:paraId="468320F1" w14:textId="48C22EB5" w:rsidR="005A2A0F" w:rsidRDefault="004E614F" w:rsidP="004E614F">
            <w:r w:rsidRPr="00B26E8C">
              <w:rPr>
                <w:szCs w:val="28"/>
                <w:lang w:val="en-AU"/>
              </w:rPr>
              <w:t>Increased mobility in the local area is assumed to reduce the need for two trips on community transport per week.</w:t>
            </w:r>
          </w:p>
        </w:tc>
      </w:tr>
      <w:tr w:rsidR="005A2A0F" w14:paraId="119A60C7" w14:textId="77777777" w:rsidTr="00671C15">
        <w:tc>
          <w:tcPr>
            <w:tcW w:w="4531" w:type="dxa"/>
          </w:tcPr>
          <w:p w14:paraId="4D099EA7" w14:textId="28A7DA11" w:rsidR="005A2A0F" w:rsidRDefault="00A53B55" w:rsidP="005A2A0F">
            <w:r>
              <w:t>Value of change (per year)</w:t>
            </w:r>
          </w:p>
        </w:tc>
        <w:tc>
          <w:tcPr>
            <w:tcW w:w="4531" w:type="dxa"/>
          </w:tcPr>
          <w:p w14:paraId="051855A5" w14:textId="66EA012F" w:rsidR="005A2A0F" w:rsidRDefault="004E614F" w:rsidP="005A2A0F">
            <w:r w:rsidRPr="00B26E8C">
              <w:rPr>
                <w:szCs w:val="28"/>
                <w:lang w:val="en-AU"/>
              </w:rPr>
              <w:t>£2,059</w:t>
            </w:r>
          </w:p>
        </w:tc>
      </w:tr>
      <w:tr w:rsidR="005A2A0F" w14:paraId="65EA5BCF" w14:textId="77777777" w:rsidTr="00671C15">
        <w:tc>
          <w:tcPr>
            <w:tcW w:w="4531" w:type="dxa"/>
          </w:tcPr>
          <w:p w14:paraId="3E2C9B8D" w14:textId="5A77E0F4" w:rsidR="005A2A0F" w:rsidRDefault="00D059BF" w:rsidP="005A2A0F">
            <w:r>
              <w:t>Proportion of service users likely to experience outcome</w:t>
            </w:r>
          </w:p>
        </w:tc>
        <w:tc>
          <w:tcPr>
            <w:tcW w:w="4531" w:type="dxa"/>
          </w:tcPr>
          <w:p w14:paraId="33122D34" w14:textId="77777777" w:rsidR="004E614F" w:rsidRPr="00B26E8C" w:rsidRDefault="004E614F" w:rsidP="004E614F">
            <w:pPr>
              <w:rPr>
                <w:szCs w:val="28"/>
                <w:lang w:val="en-AU"/>
              </w:rPr>
            </w:pPr>
            <w:r w:rsidRPr="00B26E8C">
              <w:rPr>
                <w:szCs w:val="28"/>
                <w:lang w:val="en-AU"/>
              </w:rPr>
              <w:t>16%</w:t>
            </w:r>
          </w:p>
          <w:p w14:paraId="505848B6" w14:textId="77777777" w:rsidR="005A2A0F" w:rsidRDefault="005A2A0F" w:rsidP="005A2A0F"/>
        </w:tc>
      </w:tr>
      <w:tr w:rsidR="005A2A0F" w14:paraId="66385324" w14:textId="77777777" w:rsidTr="00671C15">
        <w:tc>
          <w:tcPr>
            <w:tcW w:w="4531" w:type="dxa"/>
          </w:tcPr>
          <w:p w14:paraId="29AB90A7" w14:textId="70C05E69" w:rsidR="005A2A0F" w:rsidRDefault="00D059BF" w:rsidP="005A2A0F">
            <w:r>
              <w:t>Evidence to support proposition</w:t>
            </w:r>
          </w:p>
        </w:tc>
        <w:tc>
          <w:tcPr>
            <w:tcW w:w="4531" w:type="dxa"/>
          </w:tcPr>
          <w:p w14:paraId="6A9A7713" w14:textId="3D7D3555" w:rsidR="004E614F" w:rsidRPr="00B26E8C" w:rsidRDefault="004E614F" w:rsidP="004E614F">
            <w:pPr>
              <w:rPr>
                <w:szCs w:val="28"/>
                <w:lang w:val="en-AU"/>
              </w:rPr>
            </w:pPr>
            <w:r>
              <w:rPr>
                <w:szCs w:val="28"/>
                <w:lang w:val="en-AU"/>
              </w:rPr>
              <w:t xml:space="preserve">Interviews with </w:t>
            </w:r>
            <w:r w:rsidRPr="00B26E8C">
              <w:rPr>
                <w:szCs w:val="28"/>
                <w:lang w:val="en-AU"/>
              </w:rPr>
              <w:t xml:space="preserve">Sight for Surrey (SfS) service users showed increased mobility outcomes to be more evident among younger service users (those 65 and under). </w:t>
            </w:r>
          </w:p>
          <w:p w14:paraId="35D9239F" w14:textId="1E9CBBDB" w:rsidR="005A2A0F" w:rsidRDefault="004E614F" w:rsidP="005A2A0F">
            <w:r w:rsidRPr="00B26E8C">
              <w:rPr>
                <w:szCs w:val="28"/>
                <w:lang w:val="en-AU"/>
              </w:rPr>
              <w:t>The proportion is therefore based on the proportion of SfS service users under 65 (drawn from 2015/16 reports to Surrey County Council).</w:t>
            </w:r>
          </w:p>
        </w:tc>
      </w:tr>
      <w:tr w:rsidR="005A2A0F" w14:paraId="6A7EB074" w14:textId="77777777" w:rsidTr="00671C15">
        <w:tc>
          <w:tcPr>
            <w:tcW w:w="4531" w:type="dxa"/>
          </w:tcPr>
          <w:p w14:paraId="57847601" w14:textId="66D3213D" w:rsidR="005A2A0F" w:rsidRDefault="00D059BF" w:rsidP="005A2A0F">
            <w:r>
              <w:t>Assumed proportion of cohort of outcome</w:t>
            </w:r>
          </w:p>
        </w:tc>
        <w:tc>
          <w:tcPr>
            <w:tcW w:w="4531" w:type="dxa"/>
          </w:tcPr>
          <w:p w14:paraId="16B63320" w14:textId="77777777" w:rsidR="004E614F" w:rsidRPr="00B26E8C" w:rsidRDefault="004E614F" w:rsidP="004E614F">
            <w:pPr>
              <w:rPr>
                <w:szCs w:val="28"/>
              </w:rPr>
            </w:pPr>
            <w:r w:rsidRPr="00B26E8C">
              <w:rPr>
                <w:szCs w:val="28"/>
              </w:rPr>
              <w:t xml:space="preserve">10% </w:t>
            </w:r>
          </w:p>
          <w:p w14:paraId="0FAFE8B2" w14:textId="66D410AA" w:rsidR="005A2A0F" w:rsidRDefault="004E614F" w:rsidP="004E614F">
            <w:r w:rsidRPr="00B26E8C">
              <w:rPr>
                <w:szCs w:val="28"/>
              </w:rPr>
              <w:t>(Quartile approach)</w:t>
            </w:r>
          </w:p>
        </w:tc>
      </w:tr>
      <w:tr w:rsidR="005A2A0F" w14:paraId="09AE1D5F" w14:textId="77777777" w:rsidTr="00671C15">
        <w:tc>
          <w:tcPr>
            <w:tcW w:w="4531" w:type="dxa"/>
          </w:tcPr>
          <w:p w14:paraId="6A7F70DB" w14:textId="4DFBA646" w:rsidR="005A2A0F" w:rsidRDefault="00D059BF" w:rsidP="005A2A0F">
            <w:r>
              <w:t>£ value (to the nearest £)</w:t>
            </w:r>
          </w:p>
        </w:tc>
        <w:tc>
          <w:tcPr>
            <w:tcW w:w="4531" w:type="dxa"/>
          </w:tcPr>
          <w:p w14:paraId="45A75F4F" w14:textId="77777777" w:rsidR="004E614F" w:rsidRPr="00B26E8C" w:rsidRDefault="004E614F" w:rsidP="004E614F">
            <w:pPr>
              <w:rPr>
                <w:b/>
                <w:szCs w:val="28"/>
              </w:rPr>
            </w:pPr>
            <w:r w:rsidRPr="00B26E8C">
              <w:rPr>
                <w:b/>
                <w:szCs w:val="28"/>
              </w:rPr>
              <w:t>£23,129</w:t>
            </w:r>
          </w:p>
          <w:p w14:paraId="36197519" w14:textId="77777777" w:rsidR="005A2A0F" w:rsidRDefault="005A2A0F" w:rsidP="005A2A0F"/>
        </w:tc>
      </w:tr>
    </w:tbl>
    <w:p w14:paraId="680AF956" w14:textId="77777777" w:rsidR="005A2A0F" w:rsidRPr="005A2A0F" w:rsidRDefault="005A2A0F" w:rsidP="005A2A0F"/>
    <w:p w14:paraId="020A142C" w14:textId="5A06F6C2" w:rsidR="002B5543" w:rsidRDefault="00983CD2" w:rsidP="009859ED">
      <w:pPr>
        <w:pStyle w:val="Heading4"/>
        <w:rPr>
          <w:lang w:eastAsia="en-GB"/>
        </w:rPr>
      </w:pPr>
      <w:r>
        <w:rPr>
          <w:lang w:eastAsia="en-GB"/>
        </w:rPr>
        <w:t>C</w:t>
      </w:r>
      <w:r w:rsidR="002B5543">
        <w:rPr>
          <w:lang w:eastAsia="en-GB"/>
        </w:rPr>
        <w:t>osts avoided and positive value generated for service users, their families and carers</w:t>
      </w:r>
    </w:p>
    <w:p w14:paraId="27A32028" w14:textId="5FB0CF91" w:rsidR="002B5543" w:rsidRPr="00CD0B3D" w:rsidRDefault="002B5543" w:rsidP="00CD0B3D">
      <w:r w:rsidRPr="00CD0B3D">
        <w:t>The avoided costs (and value generated [</w:t>
      </w:r>
      <w:r w:rsidRPr="00CD0B3D">
        <w:endnoteReference w:id="56"/>
      </w:r>
      <w:r w:rsidRPr="00CD0B3D">
        <w:t>]) that may be experienced by service users, their families and carers as a result of the Sight for Surrey vision rehabilitation service are summarised in Appendix Table 2 [</w:t>
      </w:r>
      <w:r w:rsidRPr="00CD0B3D">
        <w:endnoteReference w:id="57"/>
      </w:r>
      <w:r w:rsidRPr="00CD0B3D">
        <w:t>]. They total: £255,823.</w:t>
      </w:r>
    </w:p>
    <w:p w14:paraId="5C9C84F5" w14:textId="77777777" w:rsidR="002B5543" w:rsidRDefault="002B5543" w:rsidP="00456523">
      <w:pPr>
        <w:rPr>
          <w:lang w:eastAsia="en-GB"/>
        </w:rPr>
      </w:pPr>
    </w:p>
    <w:p w14:paraId="61EF716B" w14:textId="5A07B176" w:rsidR="002B5543" w:rsidRDefault="002B5543" w:rsidP="00AE672E">
      <w:pPr>
        <w:pStyle w:val="Heading4"/>
        <w:rPr>
          <w:lang w:eastAsia="en-GB"/>
        </w:rPr>
      </w:pPr>
      <w:r>
        <w:rPr>
          <w:lang w:eastAsia="en-GB"/>
        </w:rPr>
        <w:t>A worked example</w:t>
      </w:r>
    </w:p>
    <w:p w14:paraId="39DEF99A" w14:textId="49F21948" w:rsidR="002B5543" w:rsidRDefault="002B5543" w:rsidP="00AE672E">
      <w:pPr>
        <w:pStyle w:val="ListBullet"/>
        <w:rPr>
          <w:lang w:eastAsia="en-GB"/>
        </w:rPr>
      </w:pPr>
      <w:r>
        <w:rPr>
          <w:lang w:eastAsia="en-GB"/>
        </w:rPr>
        <w:t xml:space="preserve">The detail of how the calculations were made for one of the outcomes is laid out below (and in Table 8) to show how to interpret the information in the table in the appendix. This outcome was costed using a ‘percentile approach’. </w:t>
      </w:r>
    </w:p>
    <w:p w14:paraId="67C0B433" w14:textId="77777777" w:rsidR="002B5543" w:rsidRDefault="002B5543" w:rsidP="00AE672E">
      <w:pPr>
        <w:pStyle w:val="ListBullet"/>
        <w:rPr>
          <w:lang w:eastAsia="en-GB"/>
        </w:rPr>
      </w:pPr>
    </w:p>
    <w:p w14:paraId="4931C686" w14:textId="1FA294C6" w:rsidR="002B5543" w:rsidRDefault="002B5543">
      <w:pPr>
        <w:rPr>
          <w:lang w:val="en-AU"/>
        </w:rPr>
      </w:pPr>
      <w:r w:rsidRPr="00AE672E">
        <w:rPr>
          <w:lang w:eastAsia="en-GB"/>
        </w:rPr>
        <w:t xml:space="preserve">The second outcome highlighted in </w:t>
      </w:r>
      <w:r>
        <w:rPr>
          <w:lang w:eastAsia="en-GB"/>
        </w:rPr>
        <w:t xml:space="preserve">Appendix </w:t>
      </w:r>
      <w:r w:rsidRPr="00AE672E">
        <w:rPr>
          <w:lang w:eastAsia="en-GB"/>
        </w:rPr>
        <w:t xml:space="preserve">Table </w:t>
      </w:r>
      <w:r>
        <w:rPr>
          <w:lang w:eastAsia="en-GB"/>
        </w:rPr>
        <w:t>2</w:t>
      </w:r>
      <w:r w:rsidRPr="00AE672E">
        <w:rPr>
          <w:lang w:eastAsia="en-GB"/>
        </w:rPr>
        <w:t xml:space="preserve"> pertains to the increased enjoyment of leisure time by a service user due to sight rehabilitation. The outcome </w:t>
      </w:r>
      <w:r w:rsidRPr="00AE672E">
        <w:t>is: ‘</w:t>
      </w:r>
      <w:r w:rsidRPr="00456523">
        <w:rPr>
          <w:lang w:val="en-AU"/>
        </w:rPr>
        <w:t>Increased levels of enjoyment in leisure time</w:t>
      </w:r>
      <w:r w:rsidRPr="00AE672E">
        <w:t>’ which was heard to be an outcome of Sight for Surrey client</w:t>
      </w:r>
      <w:r>
        <w:t>s through the interview process</w:t>
      </w:r>
      <w:r w:rsidRPr="00AE672E">
        <w:t xml:space="preserve">. </w:t>
      </w:r>
      <w:r>
        <w:t>Sight for Surrey clients</w:t>
      </w:r>
      <w:r w:rsidRPr="00AE672E">
        <w:t xml:space="preserve"> spoke of now being able to read again, watch TV or films or do crosswords in their leisure time. The chosen indicator therefore is ‘</w:t>
      </w:r>
      <w:r w:rsidRPr="00456523">
        <w:rPr>
          <w:lang w:val="en-AU"/>
        </w:rPr>
        <w:t>Increased time spent reading or watching films for enjoyment’ for which the proxy</w:t>
      </w:r>
      <w:r>
        <w:rPr>
          <w:lang w:val="en-AU"/>
        </w:rPr>
        <w:t xml:space="preserve"> is the c</w:t>
      </w:r>
      <w:r w:rsidRPr="00456523">
        <w:rPr>
          <w:lang w:val="en-AU"/>
        </w:rPr>
        <w:t>ost of a book/DVD</w:t>
      </w:r>
      <w:r>
        <w:rPr>
          <w:lang w:val="en-AU"/>
        </w:rPr>
        <w:t xml:space="preserve">. </w:t>
      </w:r>
    </w:p>
    <w:p w14:paraId="3B3238D6" w14:textId="77777777" w:rsidR="002B5543" w:rsidRDefault="002B5543">
      <w:pPr>
        <w:rPr>
          <w:lang w:val="en-AU"/>
        </w:rPr>
      </w:pPr>
    </w:p>
    <w:p w14:paraId="1ACE545E" w14:textId="0ABD6619" w:rsidR="002B5543" w:rsidRDefault="002B5543" w:rsidP="00FF6A67">
      <w:pPr>
        <w:rPr>
          <w:lang w:val="en-AU"/>
        </w:rPr>
      </w:pPr>
      <w:r>
        <w:rPr>
          <w:lang w:val="en-AU"/>
        </w:rPr>
        <w:t xml:space="preserve">Neither primary nor secondary evidence pointed to this outcome being more or less true for vision rehabilitation clients with certain characteristics or circumstances and therefore, to identify a proportion of service users the outcome may hold true for, we used a percentile approach, costing the value of this outcome based on if it were true for 50% of service users. </w:t>
      </w:r>
    </w:p>
    <w:p w14:paraId="1F0292EB" w14:textId="77777777" w:rsidR="002B5543" w:rsidRDefault="002B5543" w:rsidP="00FF6A67"/>
    <w:p w14:paraId="007DBE3D" w14:textId="41771F0B" w:rsidR="002B5543" w:rsidRDefault="002B5543" w:rsidP="00E664DF">
      <w:pPr>
        <w:rPr>
          <w:lang w:eastAsia="en-GB"/>
        </w:rPr>
      </w:pPr>
      <w:r>
        <w:rPr>
          <w:lang w:eastAsia="en-GB"/>
        </w:rPr>
        <w:t>It is not reasonable to assume that the entire 50% of service users described in the paragraph above would experience this outcome, so we have taken a conservative ‘percentile approach’ to demonstrate the value of this outcome, making the financial calculation based on 10% of half of all Sight for Surrey service users. Therefore, t</w:t>
      </w:r>
      <w:r w:rsidRPr="00181266">
        <w:rPr>
          <w:lang w:eastAsia="en-GB"/>
        </w:rPr>
        <w:t xml:space="preserve">he </w:t>
      </w:r>
      <w:r>
        <w:rPr>
          <w:lang w:eastAsia="en-GB"/>
        </w:rPr>
        <w:t>figure 351 (50% of 702) was multiplied by 0.1 and then by £10</w:t>
      </w:r>
      <w:r w:rsidRPr="00181266">
        <w:rPr>
          <w:lang w:eastAsia="en-GB"/>
        </w:rPr>
        <w:t xml:space="preserve"> </w:t>
      </w:r>
      <w:r>
        <w:rPr>
          <w:lang w:eastAsia="en-GB"/>
        </w:rPr>
        <w:t>to calculate</w:t>
      </w:r>
      <w:r w:rsidRPr="00181266">
        <w:rPr>
          <w:lang w:eastAsia="en-GB"/>
        </w:rPr>
        <w:t xml:space="preserve"> a financial value for this outcome </w:t>
      </w:r>
      <w:r w:rsidRPr="003130CA">
        <w:rPr>
          <w:lang w:eastAsia="en-GB"/>
        </w:rPr>
        <w:t xml:space="preserve">of </w:t>
      </w:r>
      <w:r>
        <w:rPr>
          <w:lang w:eastAsia="en-GB"/>
        </w:rPr>
        <w:t>£4,212</w:t>
      </w:r>
      <w:r w:rsidRPr="00371DFF">
        <w:rPr>
          <w:lang w:eastAsia="en-GB"/>
        </w:rPr>
        <w:t>.</w:t>
      </w:r>
    </w:p>
    <w:p w14:paraId="015AB4BF" w14:textId="77777777" w:rsidR="00983CD2" w:rsidRDefault="00983CD2" w:rsidP="00E664DF">
      <w:pPr>
        <w:rPr>
          <w:lang w:eastAsia="en-GB"/>
        </w:rPr>
      </w:pPr>
    </w:p>
    <w:p w14:paraId="11EED2DF" w14:textId="79FC03BA" w:rsidR="00983CD2" w:rsidRDefault="00983CD2" w:rsidP="00E664DF">
      <w:r>
        <w:t xml:space="preserve">Table </w:t>
      </w:r>
      <w:r w:rsidR="00D32912">
        <w:rPr>
          <w:noProof/>
        </w:rPr>
        <w:fldChar w:fldCharType="begin"/>
      </w:r>
      <w:r w:rsidR="00D32912">
        <w:rPr>
          <w:noProof/>
        </w:rPr>
        <w:instrText xml:space="preserve"> SEQ Table \* ARABIC </w:instrText>
      </w:r>
      <w:r w:rsidR="00D32912">
        <w:rPr>
          <w:noProof/>
        </w:rPr>
        <w:fldChar w:fldCharType="separate"/>
      </w:r>
      <w:r>
        <w:rPr>
          <w:noProof/>
        </w:rPr>
        <w:t>8</w:t>
      </w:r>
      <w:r w:rsidR="00D32912">
        <w:rPr>
          <w:noProof/>
        </w:rPr>
        <w:fldChar w:fldCharType="end"/>
      </w:r>
      <w:r>
        <w:t>: The value of costs</w:t>
      </w:r>
      <w:r w:rsidRPr="00A968F4">
        <w:t xml:space="preserve"> avoided &amp; positive value generated for service users, their families and carers.</w:t>
      </w:r>
    </w:p>
    <w:tbl>
      <w:tblPr>
        <w:tblStyle w:val="TableGrid"/>
        <w:tblW w:w="0" w:type="auto"/>
        <w:tblBorders>
          <w:top w:val="single" w:sz="4" w:space="0" w:color="191919" w:themeColor="background1" w:themeShade="1A"/>
          <w:left w:val="single" w:sz="4" w:space="0" w:color="191919" w:themeColor="background1" w:themeShade="1A"/>
          <w:bottom w:val="single" w:sz="4" w:space="0" w:color="191919" w:themeColor="background1" w:themeShade="1A"/>
          <w:right w:val="single" w:sz="4" w:space="0" w:color="191919" w:themeColor="background1" w:themeShade="1A"/>
          <w:insideH w:val="single" w:sz="6" w:space="0" w:color="191919" w:themeColor="background1" w:themeShade="1A"/>
          <w:insideV w:val="single" w:sz="6" w:space="0" w:color="191919" w:themeColor="background1" w:themeShade="1A"/>
        </w:tblBorders>
        <w:tblLook w:val="04A0" w:firstRow="1" w:lastRow="0" w:firstColumn="1" w:lastColumn="0" w:noHBand="0" w:noVBand="1"/>
      </w:tblPr>
      <w:tblGrid>
        <w:gridCol w:w="4531"/>
        <w:gridCol w:w="4531"/>
      </w:tblGrid>
      <w:tr w:rsidR="00983CD2" w14:paraId="0B46B930" w14:textId="77777777" w:rsidTr="00671C15">
        <w:tc>
          <w:tcPr>
            <w:tcW w:w="4531" w:type="dxa"/>
            <w:shd w:val="clear" w:color="auto" w:fill="auto"/>
          </w:tcPr>
          <w:p w14:paraId="180E73AC" w14:textId="77777777" w:rsidR="00983CD2" w:rsidRDefault="00983CD2" w:rsidP="00D37082">
            <w:r>
              <w:t>Outcome</w:t>
            </w:r>
          </w:p>
        </w:tc>
        <w:tc>
          <w:tcPr>
            <w:tcW w:w="4531" w:type="dxa"/>
            <w:shd w:val="clear" w:color="auto" w:fill="auto"/>
          </w:tcPr>
          <w:p w14:paraId="7D784D9F" w14:textId="3989716F" w:rsidR="00983CD2" w:rsidRPr="00BB0A78" w:rsidRDefault="00983CD2" w:rsidP="00D37082">
            <w:pPr>
              <w:rPr>
                <w:szCs w:val="28"/>
              </w:rPr>
            </w:pPr>
            <w:r w:rsidRPr="00BB0A78">
              <w:rPr>
                <w:szCs w:val="28"/>
                <w:lang w:val="en-AU"/>
              </w:rPr>
              <w:t>d. Increased levels of enjoyment in leisure time</w:t>
            </w:r>
          </w:p>
        </w:tc>
      </w:tr>
      <w:tr w:rsidR="00983CD2" w14:paraId="69D8E8C8" w14:textId="77777777" w:rsidTr="00671C15">
        <w:tc>
          <w:tcPr>
            <w:tcW w:w="4531" w:type="dxa"/>
          </w:tcPr>
          <w:p w14:paraId="333B139F" w14:textId="77777777" w:rsidR="00983CD2" w:rsidRDefault="00983CD2" w:rsidP="00D37082">
            <w:r>
              <w:t>Indicator</w:t>
            </w:r>
          </w:p>
        </w:tc>
        <w:tc>
          <w:tcPr>
            <w:tcW w:w="4531" w:type="dxa"/>
          </w:tcPr>
          <w:p w14:paraId="7C6C828A" w14:textId="3CAC9D6A" w:rsidR="00983CD2" w:rsidRPr="00BB0A78" w:rsidRDefault="00983CD2" w:rsidP="00D37082">
            <w:pPr>
              <w:rPr>
                <w:szCs w:val="28"/>
              </w:rPr>
            </w:pPr>
            <w:r w:rsidRPr="00BB0A78">
              <w:rPr>
                <w:szCs w:val="28"/>
                <w:lang w:val="en-AU"/>
              </w:rPr>
              <w:t>Increased time spent reading or watching films for enjoyment</w:t>
            </w:r>
          </w:p>
        </w:tc>
      </w:tr>
      <w:tr w:rsidR="00983CD2" w14:paraId="65DF4063" w14:textId="77777777" w:rsidTr="00671C15">
        <w:tc>
          <w:tcPr>
            <w:tcW w:w="4531" w:type="dxa"/>
          </w:tcPr>
          <w:p w14:paraId="41673C37" w14:textId="77777777" w:rsidR="00983CD2" w:rsidRDefault="00983CD2" w:rsidP="00D37082">
            <w:r>
              <w:t>Proxy; Proxy Value; Source</w:t>
            </w:r>
          </w:p>
        </w:tc>
        <w:tc>
          <w:tcPr>
            <w:tcW w:w="4531" w:type="dxa"/>
          </w:tcPr>
          <w:p w14:paraId="3D608414" w14:textId="77777777" w:rsidR="00983CD2" w:rsidRPr="00BB0A78" w:rsidRDefault="00983CD2" w:rsidP="00983CD2">
            <w:pPr>
              <w:rPr>
                <w:szCs w:val="28"/>
                <w:lang w:val="en-AU"/>
              </w:rPr>
            </w:pPr>
            <w:r w:rsidRPr="00BB0A78">
              <w:rPr>
                <w:szCs w:val="28"/>
                <w:lang w:val="en-AU"/>
              </w:rPr>
              <w:t>Cost of a book/DVD</w:t>
            </w:r>
          </w:p>
          <w:p w14:paraId="3AB7D44C" w14:textId="77777777" w:rsidR="00983CD2" w:rsidRPr="00BB0A78" w:rsidRDefault="00983CD2" w:rsidP="00983CD2">
            <w:pPr>
              <w:rPr>
                <w:szCs w:val="28"/>
                <w:lang w:val="en-AU"/>
              </w:rPr>
            </w:pPr>
            <w:r w:rsidRPr="00BB0A78">
              <w:rPr>
                <w:szCs w:val="28"/>
                <w:lang w:val="en-AU"/>
              </w:rPr>
              <w:t>Assumed average cost of book or DVD is £10</w:t>
            </w:r>
          </w:p>
          <w:p w14:paraId="307DD19D" w14:textId="39584A11" w:rsidR="00983CD2" w:rsidRPr="00BB0A78" w:rsidRDefault="00983CD2" w:rsidP="00983CD2">
            <w:pPr>
              <w:rPr>
                <w:szCs w:val="28"/>
              </w:rPr>
            </w:pPr>
            <w:r w:rsidRPr="00BB0A78">
              <w:rPr>
                <w:szCs w:val="28"/>
                <w:lang w:val="en-AU"/>
              </w:rPr>
              <w:t>Primary research with service users found the outcome increased enjoyment of leisure time to be often linked by service users to watching TV, doing crosswords or being able to read again and therefore we have selected increased time spent reading or watching films as an indicator for the outcome and the purchase of books and DVDs as a financial proxy for this.</w:t>
            </w:r>
          </w:p>
        </w:tc>
      </w:tr>
      <w:tr w:rsidR="00983CD2" w14:paraId="26E09428" w14:textId="77777777" w:rsidTr="00671C15">
        <w:tc>
          <w:tcPr>
            <w:tcW w:w="4531" w:type="dxa"/>
          </w:tcPr>
          <w:p w14:paraId="40B5F353" w14:textId="77777777" w:rsidR="00983CD2" w:rsidRDefault="00983CD2" w:rsidP="00D37082">
            <w:r>
              <w:t>Assumed change on indicator</w:t>
            </w:r>
          </w:p>
        </w:tc>
        <w:tc>
          <w:tcPr>
            <w:tcW w:w="4531" w:type="dxa"/>
          </w:tcPr>
          <w:p w14:paraId="26585C7B" w14:textId="437DAF4E" w:rsidR="00983CD2" w:rsidRPr="00BB0A78" w:rsidRDefault="00983CD2" w:rsidP="00D37082">
            <w:pPr>
              <w:rPr>
                <w:szCs w:val="28"/>
              </w:rPr>
            </w:pPr>
            <w:r w:rsidRPr="00BB0A78">
              <w:rPr>
                <w:szCs w:val="28"/>
                <w:lang w:val="en-AU"/>
              </w:rPr>
              <w:t>Assumes one additional purchase per month for one year</w:t>
            </w:r>
          </w:p>
        </w:tc>
      </w:tr>
      <w:tr w:rsidR="00983CD2" w14:paraId="27441AA0" w14:textId="77777777" w:rsidTr="00671C15">
        <w:tc>
          <w:tcPr>
            <w:tcW w:w="4531" w:type="dxa"/>
          </w:tcPr>
          <w:p w14:paraId="10A08239" w14:textId="77777777" w:rsidR="00983CD2" w:rsidRDefault="00983CD2" w:rsidP="00D37082">
            <w:r>
              <w:t>Value of change (per year)</w:t>
            </w:r>
          </w:p>
        </w:tc>
        <w:tc>
          <w:tcPr>
            <w:tcW w:w="4531" w:type="dxa"/>
          </w:tcPr>
          <w:p w14:paraId="78B08751" w14:textId="0AEE0D95" w:rsidR="00983CD2" w:rsidRPr="00BB0A78" w:rsidRDefault="00983CD2" w:rsidP="00D37082">
            <w:pPr>
              <w:rPr>
                <w:szCs w:val="28"/>
              </w:rPr>
            </w:pPr>
          </w:p>
        </w:tc>
      </w:tr>
      <w:tr w:rsidR="00983CD2" w14:paraId="70A6476E" w14:textId="77777777" w:rsidTr="00671C15">
        <w:tc>
          <w:tcPr>
            <w:tcW w:w="4531" w:type="dxa"/>
          </w:tcPr>
          <w:p w14:paraId="7ABE2AB0" w14:textId="77777777" w:rsidR="00983CD2" w:rsidRDefault="00983CD2" w:rsidP="00D37082">
            <w:r>
              <w:t>Proportion of service users likely to experience outcome</w:t>
            </w:r>
          </w:p>
        </w:tc>
        <w:tc>
          <w:tcPr>
            <w:tcW w:w="4531" w:type="dxa"/>
          </w:tcPr>
          <w:p w14:paraId="6C789579" w14:textId="490C0BA7" w:rsidR="00983CD2" w:rsidRPr="00BB0A78" w:rsidRDefault="00983CD2" w:rsidP="00D37082">
            <w:pPr>
              <w:rPr>
                <w:szCs w:val="28"/>
                <w:lang w:val="en-AU"/>
              </w:rPr>
            </w:pPr>
            <w:r w:rsidRPr="00BB0A78">
              <w:rPr>
                <w:szCs w:val="28"/>
                <w:lang w:val="en-AU"/>
              </w:rPr>
              <w:t>50%</w:t>
            </w:r>
          </w:p>
          <w:p w14:paraId="690B46C1" w14:textId="77777777" w:rsidR="00983CD2" w:rsidRPr="00BB0A78" w:rsidRDefault="00983CD2" w:rsidP="00D37082">
            <w:pPr>
              <w:rPr>
                <w:szCs w:val="28"/>
              </w:rPr>
            </w:pPr>
          </w:p>
        </w:tc>
      </w:tr>
      <w:tr w:rsidR="00983CD2" w14:paraId="6753749F" w14:textId="77777777" w:rsidTr="00671C15">
        <w:tc>
          <w:tcPr>
            <w:tcW w:w="4531" w:type="dxa"/>
          </w:tcPr>
          <w:p w14:paraId="360F47B0" w14:textId="77777777" w:rsidR="00983CD2" w:rsidRDefault="00983CD2" w:rsidP="00D37082">
            <w:r>
              <w:t>Evidence to support proposition</w:t>
            </w:r>
          </w:p>
        </w:tc>
        <w:tc>
          <w:tcPr>
            <w:tcW w:w="4531" w:type="dxa"/>
          </w:tcPr>
          <w:p w14:paraId="7DA613D3" w14:textId="76163B31" w:rsidR="00983CD2" w:rsidRPr="00BB0A78" w:rsidRDefault="00983CD2" w:rsidP="00D37082">
            <w:pPr>
              <w:rPr>
                <w:szCs w:val="28"/>
              </w:rPr>
            </w:pPr>
            <w:r w:rsidRPr="00BB0A78">
              <w:rPr>
                <w:szCs w:val="28"/>
                <w:lang w:val="en-AU"/>
              </w:rPr>
              <w:t xml:space="preserve">Using a quartile approach to estimate this proportion -  a proportion of 50% shows what the value of this outcome would be if 50% of service users experience this outcome.  </w:t>
            </w:r>
          </w:p>
        </w:tc>
      </w:tr>
      <w:tr w:rsidR="00983CD2" w14:paraId="474262DF" w14:textId="77777777" w:rsidTr="00671C15">
        <w:tc>
          <w:tcPr>
            <w:tcW w:w="4531" w:type="dxa"/>
          </w:tcPr>
          <w:p w14:paraId="07ADE8FB" w14:textId="77777777" w:rsidR="00983CD2" w:rsidRDefault="00983CD2" w:rsidP="00D37082">
            <w:r>
              <w:t>Assumed proportion of cohort of outcome</w:t>
            </w:r>
          </w:p>
        </w:tc>
        <w:tc>
          <w:tcPr>
            <w:tcW w:w="4531" w:type="dxa"/>
          </w:tcPr>
          <w:p w14:paraId="4DB015C3" w14:textId="77777777" w:rsidR="00983CD2" w:rsidRPr="00BB0A78" w:rsidRDefault="00983CD2" w:rsidP="00983CD2">
            <w:pPr>
              <w:rPr>
                <w:szCs w:val="28"/>
              </w:rPr>
            </w:pPr>
            <w:r w:rsidRPr="00BB0A78">
              <w:rPr>
                <w:szCs w:val="28"/>
              </w:rPr>
              <w:t>10%</w:t>
            </w:r>
          </w:p>
          <w:p w14:paraId="7AC3DEAC" w14:textId="773FBADE" w:rsidR="00983CD2" w:rsidRPr="00BB0A78" w:rsidRDefault="00983CD2" w:rsidP="00983CD2">
            <w:pPr>
              <w:rPr>
                <w:szCs w:val="28"/>
              </w:rPr>
            </w:pPr>
            <w:r w:rsidRPr="00BB0A78">
              <w:rPr>
                <w:szCs w:val="28"/>
              </w:rPr>
              <w:t>(Quartile approach)</w:t>
            </w:r>
          </w:p>
        </w:tc>
      </w:tr>
      <w:tr w:rsidR="00983CD2" w14:paraId="10FBA520" w14:textId="77777777" w:rsidTr="00671C15">
        <w:tc>
          <w:tcPr>
            <w:tcW w:w="4531" w:type="dxa"/>
          </w:tcPr>
          <w:p w14:paraId="58D7DE8D" w14:textId="77777777" w:rsidR="00983CD2" w:rsidRDefault="00983CD2" w:rsidP="00D37082">
            <w:r>
              <w:t>£ value (to the nearest £)</w:t>
            </w:r>
          </w:p>
        </w:tc>
        <w:tc>
          <w:tcPr>
            <w:tcW w:w="4531" w:type="dxa"/>
          </w:tcPr>
          <w:p w14:paraId="4465D07A" w14:textId="7624F19B" w:rsidR="00983CD2" w:rsidRPr="00BB0A78" w:rsidRDefault="00983CD2" w:rsidP="00983CD2">
            <w:pPr>
              <w:rPr>
                <w:szCs w:val="28"/>
              </w:rPr>
            </w:pPr>
            <w:r w:rsidRPr="00BB0A78">
              <w:rPr>
                <w:b/>
                <w:szCs w:val="28"/>
              </w:rPr>
              <w:t>£4,212</w:t>
            </w:r>
          </w:p>
        </w:tc>
      </w:tr>
    </w:tbl>
    <w:p w14:paraId="5427E3BD" w14:textId="77777777" w:rsidR="00983CD2" w:rsidRDefault="00983CD2" w:rsidP="00E664DF">
      <w:pPr>
        <w:rPr>
          <w:lang w:eastAsia="en-GB"/>
        </w:rPr>
      </w:pPr>
    </w:p>
    <w:p w14:paraId="209119A9" w14:textId="3DF4B1F1" w:rsidR="002B5543" w:rsidRDefault="002B5543" w:rsidP="00DA578B"/>
    <w:p w14:paraId="6F5B2CC9" w14:textId="77777777" w:rsidR="00983CD2" w:rsidRPr="00FF78A5" w:rsidRDefault="00983CD2" w:rsidP="00DA578B">
      <w:pPr>
        <w:sectPr w:rsidR="00983CD2" w:rsidRPr="00FF78A5" w:rsidSect="00671C15">
          <w:headerReference w:type="default" r:id="rId16"/>
          <w:footerReference w:type="default" r:id="rId17"/>
          <w:footerReference w:type="first" r:id="rId18"/>
          <w:endnotePr>
            <w:numFmt w:val="decimal"/>
          </w:endnotePr>
          <w:pgSz w:w="11907" w:h="16840" w:code="9"/>
          <w:pgMar w:top="1429" w:right="1134" w:bottom="1429" w:left="1701" w:header="709" w:footer="709" w:gutter="0"/>
          <w:cols w:space="708"/>
          <w:docGrid w:linePitch="360"/>
        </w:sectPr>
      </w:pPr>
    </w:p>
    <w:p w14:paraId="5E04ED09" w14:textId="2A2801FF" w:rsidR="002B5543" w:rsidRDefault="002B5543" w:rsidP="00361C02">
      <w:pPr>
        <w:pStyle w:val="Heading1"/>
        <w:numPr>
          <w:ilvl w:val="0"/>
          <w:numId w:val="17"/>
        </w:numPr>
      </w:pPr>
      <w:bookmarkStart w:id="46" w:name="_Toc485896974"/>
      <w:r>
        <w:t>Conclusions</w:t>
      </w:r>
      <w:bookmarkEnd w:id="46"/>
    </w:p>
    <w:p w14:paraId="537098B5" w14:textId="4151904A" w:rsidR="002B5543" w:rsidRDefault="002B5543" w:rsidP="00CC7472">
      <w:r>
        <w:t>This research into the costs and financial value of delivering vision rehabilitation services contributes to the emerging evidence base in this area. Through taking a bottom-up case study approach supported by available secondary evidence and a broader understanding of vision rehabilitation services we have been able to articulate: a) the costs of delivering a vision rehabilitation service; b) the impacts and outcomes experienced by service users and their families and carers; and c) plausible financial values that can be placed on those outcomes in terms of costs reduced, avoided or deferred in the health and social care sector.</w:t>
      </w:r>
    </w:p>
    <w:p w14:paraId="711950AE" w14:textId="77777777" w:rsidR="002B5543" w:rsidRDefault="002B5543" w:rsidP="00CC7472"/>
    <w:p w14:paraId="219F3BA3" w14:textId="600CED69" w:rsidR="002B5543" w:rsidRDefault="002B5543" w:rsidP="00CC7472">
      <w:r>
        <w:t>Our findings suggest that providing vision rehabilitation services not only contributes to meeting a set of needs experienced by people with a vision impairment but that the financial value resulting from these services (in the form of costs avoided, reduced or deferred) may significantly outweigh the financial costs of delivering them for the health and social care sector.</w:t>
      </w:r>
    </w:p>
    <w:p w14:paraId="74BF948F" w14:textId="77777777" w:rsidR="002B5543" w:rsidRDefault="002B5543" w:rsidP="000A4181">
      <w:pPr>
        <w:pStyle w:val="Heading2"/>
        <w:spacing w:before="360"/>
      </w:pPr>
      <w:bookmarkStart w:id="47" w:name="_Toc485896975"/>
      <w:r>
        <w:t>The cost of vision rehabilitation</w:t>
      </w:r>
      <w:bookmarkEnd w:id="47"/>
    </w:p>
    <w:p w14:paraId="27F7716F" w14:textId="1590ABC2" w:rsidR="002B5543" w:rsidRDefault="002B5543" w:rsidP="00CC7472">
      <w:pPr>
        <w:rPr>
          <w:rFonts w:ascii="Calibri" w:eastAsia="Times New Roman" w:hAnsi="Calibri" w:cs="Times New Roman"/>
          <w:b/>
          <w:color w:val="000000"/>
          <w:lang w:val="en-AU"/>
        </w:rPr>
      </w:pPr>
      <w:r>
        <w:t>The total calculated cost of the Sight for Surrey vision rehabilitation service in 2015/16 wa</w:t>
      </w:r>
      <w:r w:rsidRPr="00AE05B5">
        <w:t xml:space="preserve">s </w:t>
      </w:r>
      <w:r w:rsidRPr="00AE05B5">
        <w:rPr>
          <w:b/>
        </w:rPr>
        <w:t>£</w:t>
      </w:r>
      <w:r>
        <w:rPr>
          <w:b/>
        </w:rPr>
        <w:t>918</w:t>
      </w:r>
      <w:r w:rsidRPr="00AE05B5">
        <w:rPr>
          <w:b/>
        </w:rPr>
        <w:t>,</w:t>
      </w:r>
      <w:r>
        <w:rPr>
          <w:b/>
        </w:rPr>
        <w:t>034</w:t>
      </w:r>
      <w:r>
        <w:t>,</w:t>
      </w:r>
      <w:r w:rsidRPr="00AE05B5">
        <w:t xml:space="preserve"> </w:t>
      </w:r>
      <w:r>
        <w:t>which</w:t>
      </w:r>
      <w:r w:rsidRPr="00AE05B5">
        <w:t xml:space="preserve"> </w:t>
      </w:r>
      <w:r>
        <w:t>is a cost of</w:t>
      </w:r>
      <w:r w:rsidRPr="00AE05B5">
        <w:t xml:space="preserve"> </w:t>
      </w:r>
      <w:r>
        <w:rPr>
          <w:b/>
        </w:rPr>
        <w:t>£1,300</w:t>
      </w:r>
      <w:r w:rsidRPr="00AE05B5">
        <w:rPr>
          <w:b/>
        </w:rPr>
        <w:t xml:space="preserve"> per </w:t>
      </w:r>
      <w:r>
        <w:rPr>
          <w:b/>
        </w:rPr>
        <w:t>referral</w:t>
      </w:r>
      <w:r w:rsidRPr="00AE05B5">
        <w:rPr>
          <w:rFonts w:ascii="Calibri" w:eastAsia="Times New Roman" w:hAnsi="Calibri" w:cs="Times New Roman"/>
          <w:b/>
          <w:color w:val="000000"/>
          <w:lang w:val="en-AU"/>
        </w:rPr>
        <w:t>.</w:t>
      </w:r>
      <w:r>
        <w:rPr>
          <w:rFonts w:ascii="Calibri" w:eastAsia="Times New Roman" w:hAnsi="Calibri" w:cs="Times New Roman"/>
          <w:b/>
          <w:color w:val="000000"/>
          <w:lang w:val="en-AU"/>
        </w:rPr>
        <w:t xml:space="preserve"> </w:t>
      </w:r>
    </w:p>
    <w:p w14:paraId="6A19E028" w14:textId="77777777" w:rsidR="002B5543" w:rsidRDefault="002B5543" w:rsidP="00CC7472">
      <w:pPr>
        <w:rPr>
          <w:rFonts w:ascii="Calibri" w:eastAsia="Times New Roman" w:hAnsi="Calibri" w:cs="Times New Roman"/>
          <w:b/>
          <w:color w:val="000000"/>
          <w:lang w:val="en-AU"/>
        </w:rPr>
      </w:pPr>
    </w:p>
    <w:p w14:paraId="150D0D76" w14:textId="01F11BC4" w:rsidR="002B5543" w:rsidRDefault="002B5543" w:rsidP="00CC7472">
      <w:r>
        <w:t>The</w:t>
      </w:r>
      <w:r w:rsidRPr="00E2481B">
        <w:t xml:space="preserve"> most significant amount of resource is being channelled into the </w:t>
      </w:r>
      <w:r>
        <w:t>in-depth rehabilitation</w:t>
      </w:r>
      <w:r w:rsidRPr="00E2481B">
        <w:t xml:space="preserve"> </w:t>
      </w:r>
      <w:r>
        <w:t>stage of vision rehabilitation, reflecting the thorough, specialist and bespoke nature of this stage of the support</w:t>
      </w:r>
      <w:r w:rsidRPr="00E2481B">
        <w:t>.</w:t>
      </w:r>
      <w:r>
        <w:t xml:space="preserve"> Although the number of individual Sight for Surrey clients accessing this in-depth rehabilitation stage of vision rehabilitation is not known, it represents less than 40% of all service users. </w:t>
      </w:r>
    </w:p>
    <w:p w14:paraId="19C2EDBF" w14:textId="77777777" w:rsidR="002B5543" w:rsidRDefault="002B5543" w:rsidP="00CC7472"/>
    <w:p w14:paraId="74B32290" w14:textId="7CA7A79E" w:rsidR="002B5543" w:rsidRDefault="002B5543" w:rsidP="00CC7472">
      <w:r>
        <w:t>Approximately 60% of all Sight for Surrey vision rehabilitation clients receive only a specialist assessment. For many, their needs are met at this stage and they exit the service rather than being referred to a course of in-depth rehabilitation. In this sense, the term ‘specialist assessment’ does not capture the fact that it incorporates bespoke support, training and/or equipment in addition to assessing the need for further in-depth rehabilitation. Our research suggests that such timely and appropriate support at an early stage is an effective way of preventing avoidable escalation of service user needs and of ensuring service users know they can access further support should their condition or situation change in the future.</w:t>
      </w:r>
    </w:p>
    <w:p w14:paraId="46D65095" w14:textId="77777777" w:rsidR="002B5543" w:rsidRDefault="002B5543" w:rsidP="00CC7472"/>
    <w:p w14:paraId="1741EED1" w14:textId="09DF5F9A" w:rsidR="002B5543" w:rsidRDefault="002B5543" w:rsidP="00CC7472">
      <w:pPr>
        <w:pStyle w:val="ListBullet"/>
      </w:pPr>
      <w:r w:rsidRPr="00A04EAE">
        <w:t>It is important to no</w:t>
      </w:r>
      <w:r>
        <w:t>te that the cost of providing</w:t>
      </w:r>
      <w:r w:rsidRPr="00A04EAE">
        <w:t xml:space="preserve"> a vision rehabilitation service may look different elsewhere where services have a different staffing mix, client volume, </w:t>
      </w:r>
      <w:r>
        <w:t>or</w:t>
      </w:r>
      <w:r w:rsidRPr="00A04EAE">
        <w:t xml:space="preserve"> client compositi</w:t>
      </w:r>
      <w:r>
        <w:t>on</w:t>
      </w:r>
      <w:r w:rsidRPr="00A04EAE">
        <w:t xml:space="preserve">. </w:t>
      </w:r>
    </w:p>
    <w:p w14:paraId="57738F2E" w14:textId="77777777" w:rsidR="002B5543" w:rsidRDefault="002B5543" w:rsidP="000A4181">
      <w:pPr>
        <w:pStyle w:val="Heading2"/>
        <w:spacing w:before="360"/>
      </w:pPr>
      <w:bookmarkStart w:id="48" w:name="_Toc485896976"/>
      <w:r>
        <w:t>The impact of vision rehabilitation</w:t>
      </w:r>
      <w:bookmarkEnd w:id="48"/>
    </w:p>
    <w:p w14:paraId="0748CDF4" w14:textId="2CA0D039" w:rsidR="002B5543" w:rsidRDefault="002B5543" w:rsidP="00CC7472">
      <w:r>
        <w:t>Five overarching impact areas were identified through the primary research. The first four impact areas relate to the service users themselves, and the fifth relates to their families or carers:</w:t>
      </w:r>
    </w:p>
    <w:p w14:paraId="0F11AEE2" w14:textId="77777777" w:rsidR="002B5543" w:rsidRDefault="002B5543" w:rsidP="00361C02">
      <w:pPr>
        <w:pStyle w:val="ListParagraph"/>
        <w:numPr>
          <w:ilvl w:val="0"/>
          <w:numId w:val="13"/>
        </w:numPr>
        <w:rPr>
          <w:lang w:eastAsia="en-GB"/>
        </w:rPr>
      </w:pPr>
      <w:r>
        <w:rPr>
          <w:lang w:eastAsia="en-GB"/>
        </w:rPr>
        <w:t xml:space="preserve">Functional independence </w:t>
      </w:r>
    </w:p>
    <w:p w14:paraId="346ED225" w14:textId="77777777" w:rsidR="002B5543" w:rsidRDefault="002B5543" w:rsidP="00361C02">
      <w:pPr>
        <w:pStyle w:val="ListParagraph"/>
        <w:numPr>
          <w:ilvl w:val="0"/>
          <w:numId w:val="13"/>
        </w:numPr>
        <w:rPr>
          <w:lang w:eastAsia="en-GB"/>
        </w:rPr>
      </w:pPr>
      <w:r>
        <w:rPr>
          <w:lang w:eastAsia="en-GB"/>
        </w:rPr>
        <w:t xml:space="preserve">Personal safety </w:t>
      </w:r>
    </w:p>
    <w:p w14:paraId="1A809835" w14:textId="77777777" w:rsidR="002B5543" w:rsidRDefault="002B5543" w:rsidP="00361C02">
      <w:pPr>
        <w:pStyle w:val="ListParagraph"/>
        <w:numPr>
          <w:ilvl w:val="0"/>
          <w:numId w:val="13"/>
        </w:numPr>
        <w:rPr>
          <w:lang w:eastAsia="en-GB"/>
        </w:rPr>
      </w:pPr>
      <w:r>
        <w:rPr>
          <w:lang w:eastAsia="en-GB"/>
        </w:rPr>
        <w:t xml:space="preserve">Emotional wellbeing </w:t>
      </w:r>
    </w:p>
    <w:p w14:paraId="525BD6A9" w14:textId="35B4178A" w:rsidR="002B5543" w:rsidRDefault="002B5543" w:rsidP="00361C02">
      <w:pPr>
        <w:pStyle w:val="ListParagraph"/>
        <w:numPr>
          <w:ilvl w:val="0"/>
          <w:numId w:val="13"/>
        </w:numPr>
        <w:rPr>
          <w:lang w:eastAsia="en-GB"/>
        </w:rPr>
      </w:pPr>
      <w:r>
        <w:rPr>
          <w:lang w:eastAsia="en-GB"/>
        </w:rPr>
        <w:t xml:space="preserve">Social participation </w:t>
      </w:r>
    </w:p>
    <w:p w14:paraId="4421E5F6" w14:textId="3C77C310" w:rsidR="002B5543" w:rsidRDefault="002B5543" w:rsidP="00361C02">
      <w:pPr>
        <w:pStyle w:val="ListParagraph"/>
        <w:numPr>
          <w:ilvl w:val="0"/>
          <w:numId w:val="13"/>
        </w:numPr>
        <w:rPr>
          <w:lang w:eastAsia="en-GB"/>
        </w:rPr>
      </w:pPr>
      <w:r>
        <w:rPr>
          <w:lang w:eastAsia="en-GB"/>
        </w:rPr>
        <w:t>Outcomes for families and informal carers related to reduced anxiety and burden of informal care</w:t>
      </w:r>
    </w:p>
    <w:p w14:paraId="598313A7" w14:textId="77777777" w:rsidR="002B5543" w:rsidRDefault="002B5543" w:rsidP="00282B74">
      <w:pPr>
        <w:rPr>
          <w:lang w:eastAsia="en-GB"/>
        </w:rPr>
      </w:pPr>
    </w:p>
    <w:p w14:paraId="2846EE15" w14:textId="14341E6F" w:rsidR="002B5543" w:rsidRDefault="002B5543" w:rsidP="00CC7472">
      <w:r>
        <w:t>Through combining the primary research findings with a review of robust and authoritative evidence we have been able to demonstrate several specific outcomes that can plausibly be attributed to vision rehabilitation and these have been used to determine the financial value of the outcomes experienced by service users and their families and carers.</w:t>
      </w:r>
    </w:p>
    <w:p w14:paraId="2E8055BA" w14:textId="77777777" w:rsidR="002B5543" w:rsidRDefault="002B5543" w:rsidP="00CC7472"/>
    <w:p w14:paraId="66DD3C77" w14:textId="05657C53" w:rsidR="002B5543" w:rsidRDefault="002B5543" w:rsidP="00CC7472">
      <w:r>
        <w:t>No clear differences were found in the outcomes experienced by service users who had received in-depth vision rehabilitation and those who had received equipment following a specialist assessment. This is not because equipment and a specialist assessment will necessarily produce the same outcomes as in-depth vision rehabilitation, but rather is because the support is bespoke to each individual and therefore individuals may experience the same outcome as a result of different types of support.</w:t>
      </w:r>
    </w:p>
    <w:p w14:paraId="215F3B9E" w14:textId="77777777" w:rsidR="002B5543" w:rsidRDefault="002B5543" w:rsidP="00CC7472"/>
    <w:p w14:paraId="668AD1C2" w14:textId="1152D4E2" w:rsidR="002B5543" w:rsidRPr="00E922C5" w:rsidRDefault="002B5543" w:rsidP="00CC7472">
      <w:pPr>
        <w:rPr>
          <w:lang w:eastAsia="en-GB"/>
        </w:rPr>
      </w:pPr>
      <w:r w:rsidRPr="00E922C5">
        <w:rPr>
          <w:lang w:eastAsia="en-GB"/>
        </w:rPr>
        <w:t>There did, however, appear to be a difference in the outcomes and benefits experienced by service users of different ages, and these differences were incorporated into the approach to assigning financial values to vision rehabilitation outcomes.</w:t>
      </w:r>
    </w:p>
    <w:p w14:paraId="4428698E" w14:textId="77777777" w:rsidR="002B5543" w:rsidRDefault="002B5543" w:rsidP="000A4181">
      <w:pPr>
        <w:pStyle w:val="Heading2"/>
        <w:spacing w:before="360"/>
        <w:rPr>
          <w:lang w:eastAsia="en-GB"/>
        </w:rPr>
      </w:pPr>
      <w:bookmarkStart w:id="49" w:name="_Toc485896977"/>
      <w:r>
        <w:rPr>
          <w:lang w:eastAsia="en-GB"/>
        </w:rPr>
        <w:t>The financial value of vision rehabilitation outcomes</w:t>
      </w:r>
      <w:bookmarkEnd w:id="49"/>
    </w:p>
    <w:p w14:paraId="5D6642D4" w14:textId="03F4E2A7" w:rsidR="002B5543" w:rsidRDefault="002B5543" w:rsidP="00CC7472">
      <w:pPr>
        <w:rPr>
          <w:lang w:eastAsia="en-GB"/>
        </w:rPr>
      </w:pPr>
      <w:r>
        <w:rPr>
          <w:lang w:eastAsia="en-GB"/>
        </w:rPr>
        <w:t xml:space="preserve">The reduced, avoided or deferred costs that may be experienced in the health and social care systems as a result of the Sight for Surrey vision rehabilitation service in 2015/16 total </w:t>
      </w:r>
      <w:r w:rsidRPr="009E2F23">
        <w:rPr>
          <w:b/>
          <w:lang w:eastAsia="en-GB"/>
        </w:rPr>
        <w:t>£3,</w:t>
      </w:r>
      <w:r w:rsidRPr="00E967AA">
        <w:rPr>
          <w:b/>
          <w:lang w:eastAsia="en-GB"/>
        </w:rPr>
        <w:t>168</w:t>
      </w:r>
      <w:r w:rsidRPr="009E2F23">
        <w:rPr>
          <w:b/>
          <w:lang w:eastAsia="en-GB"/>
        </w:rPr>
        <w:t>,</w:t>
      </w:r>
      <w:r>
        <w:rPr>
          <w:b/>
          <w:lang w:eastAsia="en-GB"/>
        </w:rPr>
        <w:t>022</w:t>
      </w:r>
      <w:r w:rsidRPr="009E2F23">
        <w:rPr>
          <w:lang w:eastAsia="en-GB"/>
        </w:rPr>
        <w:t xml:space="preserve">. This equates to an average of </w:t>
      </w:r>
      <w:r w:rsidRPr="00E967AA">
        <w:rPr>
          <w:b/>
          <w:lang w:eastAsia="en-GB"/>
        </w:rPr>
        <w:t>£4,</w:t>
      </w:r>
      <w:r>
        <w:rPr>
          <w:b/>
          <w:lang w:eastAsia="en-GB"/>
        </w:rPr>
        <w:t>487</w:t>
      </w:r>
      <w:r w:rsidRPr="00E967AA">
        <w:rPr>
          <w:b/>
          <w:lang w:eastAsia="en-GB"/>
        </w:rPr>
        <w:t xml:space="preserve"> per referral</w:t>
      </w:r>
      <w:r w:rsidRPr="009E2F23">
        <w:rPr>
          <w:lang w:eastAsia="en-GB"/>
        </w:rPr>
        <w:t>.</w:t>
      </w:r>
      <w:r>
        <w:rPr>
          <w:lang w:eastAsia="en-GB"/>
        </w:rPr>
        <w:t xml:space="preserve"> The costs reduced, avoided or deferred are likely to be experienced by the NHS and Local Authorities.</w:t>
      </w:r>
    </w:p>
    <w:p w14:paraId="64A7C502" w14:textId="77777777" w:rsidR="002B5543" w:rsidRDefault="002B5543" w:rsidP="00CC7472">
      <w:pPr>
        <w:rPr>
          <w:lang w:eastAsia="en-GB"/>
        </w:rPr>
      </w:pPr>
    </w:p>
    <w:p w14:paraId="371E9B7A" w14:textId="1891E325" w:rsidR="002B5543" w:rsidRDefault="002B5543" w:rsidP="00CC7472">
      <w:pPr>
        <w:rPr>
          <w:lang w:eastAsia="en-GB"/>
        </w:rPr>
      </w:pPr>
      <w:r>
        <w:rPr>
          <w:lang w:eastAsia="en-GB"/>
        </w:rPr>
        <w:t>The avoided costs (and value generated) that may be experienced by service users as a result of the Sight for Surrey vision rehabilitation service in 2015</w:t>
      </w:r>
      <w:r w:rsidRPr="003153E0">
        <w:rPr>
          <w:lang w:eastAsia="en-GB"/>
        </w:rPr>
        <w:t xml:space="preserve">/16 total </w:t>
      </w:r>
      <w:r w:rsidRPr="003153E0">
        <w:rPr>
          <w:b/>
          <w:lang w:eastAsia="en-GB"/>
        </w:rPr>
        <w:t>£</w:t>
      </w:r>
      <w:r>
        <w:rPr>
          <w:b/>
          <w:lang w:eastAsia="en-GB"/>
        </w:rPr>
        <w:t>255</w:t>
      </w:r>
      <w:r w:rsidRPr="003153E0">
        <w:rPr>
          <w:b/>
          <w:lang w:eastAsia="en-GB"/>
        </w:rPr>
        <w:t>,</w:t>
      </w:r>
      <w:r>
        <w:rPr>
          <w:b/>
          <w:lang w:eastAsia="en-GB"/>
        </w:rPr>
        <w:t>823</w:t>
      </w:r>
      <w:r w:rsidRPr="003153E0">
        <w:rPr>
          <w:lang w:eastAsia="en-GB"/>
        </w:rPr>
        <w:t xml:space="preserve">. This equates to an average of </w:t>
      </w:r>
      <w:r w:rsidRPr="00E967AA">
        <w:rPr>
          <w:b/>
          <w:lang w:eastAsia="en-GB"/>
        </w:rPr>
        <w:t>£</w:t>
      </w:r>
      <w:r>
        <w:rPr>
          <w:b/>
          <w:lang w:eastAsia="en-GB"/>
        </w:rPr>
        <w:t>362</w:t>
      </w:r>
      <w:r w:rsidRPr="00E967AA">
        <w:rPr>
          <w:b/>
          <w:lang w:eastAsia="en-GB"/>
        </w:rPr>
        <w:t xml:space="preserve"> per referral</w:t>
      </w:r>
      <w:r w:rsidRPr="003153E0">
        <w:rPr>
          <w:lang w:eastAsia="en-GB"/>
        </w:rPr>
        <w:t>.</w:t>
      </w:r>
      <w:r>
        <w:rPr>
          <w:lang w:eastAsia="en-GB"/>
        </w:rPr>
        <w:t xml:space="preserve"> </w:t>
      </w:r>
    </w:p>
    <w:p w14:paraId="2FC3C774" w14:textId="77777777" w:rsidR="002B5543" w:rsidRDefault="002B5543" w:rsidP="00CC7472">
      <w:pPr>
        <w:rPr>
          <w:lang w:eastAsia="en-GB"/>
        </w:rPr>
      </w:pPr>
    </w:p>
    <w:p w14:paraId="52EF3118" w14:textId="77777777" w:rsidR="002B5543" w:rsidRDefault="002B5543" w:rsidP="00CC7472">
      <w:pPr>
        <w:rPr>
          <w:lang w:eastAsia="en-GB"/>
        </w:rPr>
      </w:pPr>
      <w:r>
        <w:rPr>
          <w:lang w:eastAsia="en-GB"/>
        </w:rPr>
        <w:t xml:space="preserve">When these costs are examined across the five impact areas the majority (95%) of the avoided costs lie in three of the five impact areas, namely, increased functional independence; increased personal safety; and outcomes for families and carers. It could be the case that the other two impact areas (improved emotional wellbeing and social participation) account for such a small amount of the costs avoided because outcomes in these areas are more likely to be indirect outcomes. The main aims of vision rehabilitation services relate to increasing people’s independence and safety; they are not replacements for mental health and wellbeing services but nonetheless may improve people’s wellbeing and social participation as a ‘knock-on effect’ of increases in independence and safety, and a reduced reliance on family and carers.  </w:t>
      </w:r>
    </w:p>
    <w:p w14:paraId="2FA5E34F" w14:textId="6FA2C868" w:rsidR="002B5543" w:rsidRDefault="002B5543" w:rsidP="00CC7472">
      <w:pPr>
        <w:rPr>
          <w:lang w:eastAsia="en-GB"/>
        </w:rPr>
      </w:pPr>
      <w:r>
        <w:rPr>
          <w:lang w:eastAsia="en-GB"/>
        </w:rPr>
        <w:t xml:space="preserve"> </w:t>
      </w:r>
    </w:p>
    <w:p w14:paraId="2C3F76B5" w14:textId="0B088675" w:rsidR="002B5543" w:rsidRDefault="002B5543" w:rsidP="00CC7472">
      <w:r>
        <w:t>These financial values are conservatively calculated and based on the most robust evidence available. Using this evidence, we have made several informed assumptions, clearly stated throughout this report. These financial values are very significant, especially in comparison to the costs of delivering a vision rehabilitation service, suggesting that the financial value of delivering a vision rehabilitation service may significantly outweigh the financial costs of doing so.</w:t>
      </w:r>
    </w:p>
    <w:p w14:paraId="611AF5D1" w14:textId="77777777" w:rsidR="002B5543" w:rsidRDefault="002B5543" w:rsidP="00CC7472"/>
    <w:p w14:paraId="68A7F29A" w14:textId="5B2CC6B5" w:rsidR="002B5543" w:rsidRDefault="002B5543" w:rsidP="00CC7472">
      <w:r>
        <w:t>It is important to note that, while the available authoritative evidence was mined to verify and support this area of the research, the lack of robust evidence on vision rehabilitation specifically meant that we needed to draw on related areas such as reablement, independent living and occupational therapy services where there is more evidence available. This is an accepted approach, yet if there were more evidence available on vision rehabilitation specifically this would add to the robustness of the findings and conclusions.</w:t>
      </w:r>
    </w:p>
    <w:p w14:paraId="052146FA" w14:textId="77777777" w:rsidR="002B5543" w:rsidRDefault="002B5543" w:rsidP="000A4181">
      <w:pPr>
        <w:pStyle w:val="Heading2"/>
        <w:spacing w:before="360"/>
      </w:pPr>
      <w:bookmarkStart w:id="50" w:name="_Toc485896978"/>
      <w:r>
        <w:t>Recommendations for further research</w:t>
      </w:r>
      <w:bookmarkEnd w:id="50"/>
    </w:p>
    <w:p w14:paraId="0833B6AD" w14:textId="7DA6641B" w:rsidR="002B5543" w:rsidRDefault="002B5543" w:rsidP="00CC7472">
      <w:pPr>
        <w:pStyle w:val="ListBullet"/>
      </w:pPr>
      <w:r>
        <w:t>This research makes an early contribution to an evidence base that is currently sparse in the specific field of vision rehabilitation. The methodology was chosen due to the need for a robust yet pragmatic approach in the context of the paucity of existing robust evidence. Our approach means that we can be confident that the findings can be plausibly applicable to vision rehabilitation services more widely than the case study site that was the basis for the research.</w:t>
      </w:r>
    </w:p>
    <w:p w14:paraId="735B6A20" w14:textId="77777777" w:rsidR="002B5543" w:rsidRDefault="002B5543" w:rsidP="00CC7472">
      <w:pPr>
        <w:pStyle w:val="ListBullet"/>
      </w:pPr>
    </w:p>
    <w:p w14:paraId="68ACA867" w14:textId="5296B85A" w:rsidR="002B5543" w:rsidRDefault="002B5543" w:rsidP="00CC7472">
      <w:pPr>
        <w:pStyle w:val="ListBullet"/>
      </w:pPr>
      <w:r>
        <w:t>However, further research is necessary to continue to address the current gap in evidence. For example, further studies that look at a range of different types of vision rehabilitation service providers and models of delivery could strengthen and build upon the evidence presented here.</w:t>
      </w:r>
    </w:p>
    <w:p w14:paraId="7B2B30EE" w14:textId="77777777" w:rsidR="002B5543" w:rsidRDefault="002B5543" w:rsidP="00CC7472">
      <w:pPr>
        <w:pStyle w:val="ListBullet"/>
      </w:pPr>
    </w:p>
    <w:p w14:paraId="0F5ADE7C" w14:textId="6CE8B9BE" w:rsidR="002B5543" w:rsidRDefault="002B5543" w:rsidP="000A4181">
      <w:pPr>
        <w:pStyle w:val="ListBullet"/>
      </w:pPr>
      <w:r>
        <w:t>Vision rehabilitation services might also be encouraged and supported to develop more robust monitoring data collection mechanisms so that research can be more easily carried out across this specialist service area.</w:t>
      </w:r>
    </w:p>
    <w:p w14:paraId="3E0C930A" w14:textId="77777777" w:rsidR="002B5543" w:rsidRDefault="002B5543">
      <w:pPr>
        <w:spacing w:before="0" w:after="0"/>
        <w:rPr>
          <w:highlight w:val="yellow"/>
        </w:rPr>
        <w:sectPr w:rsidR="002B5543" w:rsidSect="00E967AA">
          <w:endnotePr>
            <w:numFmt w:val="decimal"/>
          </w:endnotePr>
          <w:pgSz w:w="11907" w:h="16840" w:code="9"/>
          <w:pgMar w:top="1429" w:right="1134" w:bottom="1429" w:left="1701" w:header="709" w:footer="709" w:gutter="0"/>
          <w:cols w:space="708"/>
          <w:docGrid w:linePitch="360"/>
        </w:sectPr>
      </w:pPr>
    </w:p>
    <w:p w14:paraId="2596F86A" w14:textId="12E8C66C" w:rsidR="002B5543" w:rsidRDefault="002B5543" w:rsidP="003F4DCA">
      <w:pPr>
        <w:pStyle w:val="Heading1"/>
      </w:pPr>
      <w:bookmarkStart w:id="51" w:name="_Toc485896979"/>
      <w:r>
        <w:t>Appendix</w:t>
      </w:r>
      <w:bookmarkEnd w:id="51"/>
    </w:p>
    <w:p w14:paraId="4C1577EA" w14:textId="35F733FE" w:rsidR="002B5543" w:rsidRDefault="002B5543" w:rsidP="000C3689">
      <w:r>
        <w:t>A separate technical appendix is available on request from RNIB.</w:t>
      </w:r>
    </w:p>
    <w:p w14:paraId="67927036" w14:textId="085E64E0" w:rsidR="002B5543" w:rsidRDefault="002B5543" w:rsidP="00B5498B">
      <w:pPr>
        <w:pStyle w:val="Heading2"/>
      </w:pPr>
      <w:bookmarkStart w:id="52" w:name="_Toc485896980"/>
      <w:r>
        <w:t xml:space="preserve">A1. Tables showing costs avoided as a result of vision rehabilitation </w:t>
      </w:r>
      <w:r w:rsidRPr="00B52075">
        <w:rPr>
          <w:b w:val="0"/>
          <w:sz w:val="28"/>
          <w:szCs w:val="28"/>
        </w:rPr>
        <w:t>[</w:t>
      </w:r>
      <w:r w:rsidRPr="003F1B3C">
        <w:rPr>
          <w:rStyle w:val="EndnoteReference"/>
        </w:rPr>
        <w:endnoteReference w:id="58"/>
      </w:r>
      <w:bookmarkEnd w:id="52"/>
      <w:r w:rsidRPr="00B52075">
        <w:rPr>
          <w:b w:val="0"/>
          <w:sz w:val="28"/>
          <w:szCs w:val="28"/>
        </w:rPr>
        <w:t>]</w:t>
      </w:r>
    </w:p>
    <w:p w14:paraId="073E54DA" w14:textId="7E6C7045" w:rsidR="002B5543" w:rsidRPr="000A6006" w:rsidRDefault="002B5543" w:rsidP="00A212A9">
      <w:pPr>
        <w:pStyle w:val="Caption"/>
        <w:keepNext/>
        <w:rPr>
          <w:color w:val="auto"/>
          <w:sz w:val="28"/>
          <w:szCs w:val="28"/>
        </w:rPr>
      </w:pPr>
      <w:r w:rsidRPr="000A6006">
        <w:rPr>
          <w:color w:val="auto"/>
          <w:sz w:val="28"/>
          <w:szCs w:val="28"/>
        </w:rPr>
        <w:t xml:space="preserve">Appendix Table </w:t>
      </w:r>
      <w:r w:rsidR="003944CD" w:rsidRPr="000A6006">
        <w:rPr>
          <w:color w:val="auto"/>
          <w:sz w:val="28"/>
          <w:szCs w:val="28"/>
        </w:rPr>
        <w:fldChar w:fldCharType="begin"/>
      </w:r>
      <w:r w:rsidR="003944CD" w:rsidRPr="000A6006">
        <w:rPr>
          <w:color w:val="auto"/>
          <w:sz w:val="28"/>
          <w:szCs w:val="28"/>
        </w:rPr>
        <w:instrText xml:space="preserve"> SEQ Appendix_Table \* ARABIC </w:instrText>
      </w:r>
      <w:r w:rsidR="003944CD" w:rsidRPr="000A6006">
        <w:rPr>
          <w:color w:val="auto"/>
          <w:sz w:val="28"/>
          <w:szCs w:val="28"/>
        </w:rPr>
        <w:fldChar w:fldCharType="separate"/>
      </w:r>
      <w:r w:rsidRPr="000A6006">
        <w:rPr>
          <w:noProof/>
          <w:color w:val="auto"/>
          <w:sz w:val="28"/>
          <w:szCs w:val="28"/>
        </w:rPr>
        <w:t>1</w:t>
      </w:r>
      <w:r w:rsidR="003944CD" w:rsidRPr="000A6006">
        <w:rPr>
          <w:noProof/>
          <w:color w:val="auto"/>
          <w:sz w:val="28"/>
          <w:szCs w:val="28"/>
        </w:rPr>
        <w:fldChar w:fldCharType="end"/>
      </w:r>
      <w:r w:rsidRPr="000A6006">
        <w:rPr>
          <w:color w:val="auto"/>
          <w:sz w:val="28"/>
          <w:szCs w:val="28"/>
        </w:rPr>
        <w:t xml:space="preserve">: Costs avoided that accrue to providers and commissioners of health and social care services. </w:t>
      </w:r>
    </w:p>
    <w:tbl>
      <w:tblPr>
        <w:tblStyle w:val="OPMLightListorBox"/>
        <w:tblpPr w:leftFromText="180" w:rightFromText="180" w:vertAnchor="text" w:tblpY="1"/>
        <w:tblOverlap w:val="never"/>
        <w:tblW w:w="14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7: The vaue of costs avoided, deferred or saved in health and social care for Sight for Surrey outcomes "/>
        <w:tblDescription w:val="The full details of this table can be found in the appendix in an Excel spreadsheet."/>
      </w:tblPr>
      <w:tblGrid>
        <w:gridCol w:w="1659"/>
        <w:gridCol w:w="1292"/>
        <w:gridCol w:w="1655"/>
        <w:gridCol w:w="2047"/>
        <w:gridCol w:w="992"/>
        <w:gridCol w:w="1559"/>
        <w:gridCol w:w="2140"/>
        <w:gridCol w:w="1687"/>
        <w:gridCol w:w="1418"/>
      </w:tblGrid>
      <w:tr w:rsidR="002B5543" w14:paraId="6C284414" w14:textId="77777777" w:rsidTr="003906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59" w:type="dxa"/>
          </w:tcPr>
          <w:p w14:paraId="402A6082" w14:textId="77777777" w:rsidR="002B5543" w:rsidRDefault="002B5543" w:rsidP="00AB248F">
            <w:pPr>
              <w:rPr>
                <w:lang w:eastAsia="en-GB"/>
              </w:rPr>
            </w:pPr>
            <w:r w:rsidRPr="007657BC">
              <w:rPr>
                <w:color w:val="auto"/>
                <w:lang w:val="en-AU"/>
              </w:rPr>
              <w:t>Outcome</w:t>
            </w:r>
          </w:p>
        </w:tc>
        <w:tc>
          <w:tcPr>
            <w:tcW w:w="1292" w:type="dxa"/>
          </w:tcPr>
          <w:p w14:paraId="34C53B5C" w14:textId="77777777" w:rsidR="002B5543" w:rsidRDefault="002B5543" w:rsidP="00AB248F">
            <w:pPr>
              <w:cnfStyle w:val="100000000000" w:firstRow="1" w:lastRow="0" w:firstColumn="0" w:lastColumn="0" w:oddVBand="0" w:evenVBand="0" w:oddHBand="0" w:evenHBand="0" w:firstRowFirstColumn="0" w:firstRowLastColumn="0" w:lastRowFirstColumn="0" w:lastRowLastColumn="0"/>
              <w:rPr>
                <w:lang w:eastAsia="en-GB"/>
              </w:rPr>
            </w:pPr>
            <w:r w:rsidRPr="007657BC">
              <w:rPr>
                <w:color w:val="auto"/>
                <w:lang w:val="en-AU"/>
              </w:rPr>
              <w:t>Indicator</w:t>
            </w:r>
          </w:p>
        </w:tc>
        <w:tc>
          <w:tcPr>
            <w:tcW w:w="1655" w:type="dxa"/>
          </w:tcPr>
          <w:p w14:paraId="0D8313FD" w14:textId="77777777" w:rsidR="002B5543" w:rsidRPr="00880525" w:rsidRDefault="002B5543" w:rsidP="00AB248F">
            <w:pPr>
              <w:cnfStyle w:val="100000000000" w:firstRow="1" w:lastRow="0" w:firstColumn="0" w:lastColumn="0" w:oddVBand="0" w:evenVBand="0" w:oddHBand="0" w:evenHBand="0" w:firstRowFirstColumn="0" w:firstRowLastColumn="0" w:lastRowFirstColumn="0" w:lastRowLastColumn="0"/>
              <w:rPr>
                <w:color w:val="auto"/>
                <w:lang w:val="en-AU"/>
              </w:rPr>
            </w:pPr>
            <w:r w:rsidRPr="007657BC">
              <w:rPr>
                <w:color w:val="auto"/>
                <w:lang w:val="en-AU"/>
              </w:rPr>
              <w:t>Proxy; proxy value; source</w:t>
            </w:r>
          </w:p>
        </w:tc>
        <w:tc>
          <w:tcPr>
            <w:tcW w:w="2047" w:type="dxa"/>
          </w:tcPr>
          <w:p w14:paraId="78A28309" w14:textId="77777777" w:rsidR="002B5543" w:rsidRDefault="002B5543" w:rsidP="00AB248F">
            <w:pPr>
              <w:cnfStyle w:val="100000000000" w:firstRow="1" w:lastRow="0" w:firstColumn="0" w:lastColumn="0" w:oddVBand="0" w:evenVBand="0" w:oddHBand="0" w:evenHBand="0" w:firstRowFirstColumn="0" w:firstRowLastColumn="0" w:lastRowFirstColumn="0" w:lastRowLastColumn="0"/>
              <w:rPr>
                <w:lang w:eastAsia="en-GB"/>
              </w:rPr>
            </w:pPr>
            <w:r w:rsidRPr="007657BC">
              <w:rPr>
                <w:color w:val="auto"/>
                <w:lang w:val="en-AU"/>
              </w:rPr>
              <w:t>Assumed change on indicator</w:t>
            </w:r>
          </w:p>
        </w:tc>
        <w:tc>
          <w:tcPr>
            <w:tcW w:w="992" w:type="dxa"/>
          </w:tcPr>
          <w:p w14:paraId="0D89DDF8" w14:textId="77777777" w:rsidR="002B5543" w:rsidRPr="007155A0" w:rsidRDefault="002B5543" w:rsidP="00AB248F">
            <w:pPr>
              <w:cnfStyle w:val="100000000000" w:firstRow="1" w:lastRow="0" w:firstColumn="0" w:lastColumn="0" w:oddVBand="0" w:evenVBand="0" w:oddHBand="0" w:evenHBand="0" w:firstRowFirstColumn="0" w:firstRowLastColumn="0" w:lastRowFirstColumn="0" w:lastRowLastColumn="0"/>
              <w:rPr>
                <w:color w:val="auto"/>
                <w:lang w:val="en-AU"/>
              </w:rPr>
            </w:pPr>
            <w:r w:rsidRPr="007657BC">
              <w:rPr>
                <w:color w:val="auto"/>
                <w:lang w:val="en-AU"/>
              </w:rPr>
              <w:t>Value of change (per year)</w:t>
            </w:r>
          </w:p>
        </w:tc>
        <w:tc>
          <w:tcPr>
            <w:tcW w:w="1559" w:type="dxa"/>
          </w:tcPr>
          <w:p w14:paraId="7D152392" w14:textId="3FC14CE4" w:rsidR="002B5543" w:rsidRDefault="002B5543" w:rsidP="00AB248F">
            <w:pPr>
              <w:cnfStyle w:val="100000000000" w:firstRow="1" w:lastRow="0" w:firstColumn="0" w:lastColumn="0" w:oddVBand="0" w:evenVBand="0" w:oddHBand="0" w:evenHBand="0" w:firstRowFirstColumn="0" w:firstRowLastColumn="0" w:lastRowFirstColumn="0" w:lastRowLastColumn="0"/>
              <w:rPr>
                <w:lang w:eastAsia="en-GB"/>
              </w:rPr>
            </w:pPr>
            <w:r w:rsidRPr="007657BC">
              <w:rPr>
                <w:color w:val="auto"/>
                <w:lang w:val="en-AU"/>
              </w:rPr>
              <w:t xml:space="preserve">Proportion of service users </w:t>
            </w:r>
            <w:r>
              <w:rPr>
                <w:color w:val="auto"/>
                <w:lang w:val="en-AU"/>
              </w:rPr>
              <w:t>likely to experience</w:t>
            </w:r>
            <w:r w:rsidRPr="007657BC">
              <w:rPr>
                <w:color w:val="auto"/>
                <w:lang w:val="en-AU"/>
              </w:rPr>
              <w:t xml:space="preserve"> outcome</w:t>
            </w:r>
            <w:r>
              <w:rPr>
                <w:color w:val="auto"/>
                <w:lang w:val="en-AU"/>
              </w:rPr>
              <w:t xml:space="preserve"> </w:t>
            </w:r>
            <w:r w:rsidRPr="00B52075">
              <w:rPr>
                <w:b w:val="0"/>
                <w:color w:val="auto"/>
                <w:lang w:val="en-AU"/>
              </w:rPr>
              <w:t>[</w:t>
            </w:r>
            <w:r w:rsidRPr="00F83204">
              <w:rPr>
                <w:rStyle w:val="EndnoteReference"/>
                <w:color w:val="auto"/>
              </w:rPr>
              <w:endnoteReference w:id="59"/>
            </w:r>
            <w:r w:rsidRPr="00F83204">
              <w:rPr>
                <w:b w:val="0"/>
                <w:color w:val="auto"/>
                <w:lang w:val="en-AU"/>
              </w:rPr>
              <w:t>]</w:t>
            </w:r>
          </w:p>
        </w:tc>
        <w:tc>
          <w:tcPr>
            <w:tcW w:w="2140" w:type="dxa"/>
          </w:tcPr>
          <w:p w14:paraId="2F0285E3" w14:textId="77777777" w:rsidR="002B5543" w:rsidRDefault="002B5543" w:rsidP="00AB248F">
            <w:pPr>
              <w:cnfStyle w:val="100000000000" w:firstRow="1" w:lastRow="0" w:firstColumn="0" w:lastColumn="0" w:oddVBand="0" w:evenVBand="0" w:oddHBand="0" w:evenHBand="0" w:firstRowFirstColumn="0" w:firstRowLastColumn="0" w:lastRowFirstColumn="0" w:lastRowLastColumn="0"/>
              <w:rPr>
                <w:lang w:eastAsia="en-GB"/>
              </w:rPr>
            </w:pPr>
            <w:r w:rsidRPr="007657BC">
              <w:rPr>
                <w:color w:val="auto"/>
                <w:lang w:val="en-AU"/>
              </w:rPr>
              <w:t>Evidence to support proportion</w:t>
            </w:r>
          </w:p>
        </w:tc>
        <w:tc>
          <w:tcPr>
            <w:tcW w:w="1687" w:type="dxa"/>
          </w:tcPr>
          <w:p w14:paraId="4017330A" w14:textId="6B8222F6" w:rsidR="002B5543" w:rsidRPr="0000386A" w:rsidRDefault="002B5543" w:rsidP="00AB248F">
            <w:pPr>
              <w:cnfStyle w:val="100000000000" w:firstRow="1" w:lastRow="0" w:firstColumn="0" w:lastColumn="0" w:oddVBand="0" w:evenVBand="0" w:oddHBand="0" w:evenHBand="0" w:firstRowFirstColumn="0" w:firstRowLastColumn="0" w:lastRowFirstColumn="0" w:lastRowLastColumn="0"/>
              <w:rPr>
                <w:highlight w:val="yellow"/>
                <w:lang w:val="en-AU"/>
              </w:rPr>
            </w:pPr>
            <w:r>
              <w:rPr>
                <w:color w:val="auto"/>
                <w:lang w:val="en-AU"/>
              </w:rPr>
              <w:t>Assumed proportion of cohort who experience outcome</w:t>
            </w:r>
          </w:p>
        </w:tc>
        <w:tc>
          <w:tcPr>
            <w:tcW w:w="1418" w:type="dxa"/>
          </w:tcPr>
          <w:p w14:paraId="0ED71409" w14:textId="16C93587" w:rsidR="002B5543" w:rsidRPr="0000386A" w:rsidRDefault="002B5543" w:rsidP="00AB248F">
            <w:pPr>
              <w:cnfStyle w:val="100000000000" w:firstRow="1" w:lastRow="0" w:firstColumn="0" w:lastColumn="0" w:oddVBand="0" w:evenVBand="0" w:oddHBand="0" w:evenHBand="0" w:firstRowFirstColumn="0" w:firstRowLastColumn="0" w:lastRowFirstColumn="0" w:lastRowLastColumn="0"/>
              <w:rPr>
                <w:color w:val="auto"/>
                <w:highlight w:val="yellow"/>
                <w:lang w:val="en-AU"/>
              </w:rPr>
            </w:pPr>
            <w:r w:rsidRPr="00574E6B">
              <w:rPr>
                <w:color w:val="auto"/>
                <w:lang w:val="en-AU"/>
              </w:rPr>
              <w:t>£ value (to nearest £)</w:t>
            </w:r>
          </w:p>
        </w:tc>
      </w:tr>
      <w:tr w:rsidR="002B5543" w14:paraId="321E0E65" w14:textId="77777777" w:rsidTr="00390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9" w:type="dxa"/>
            <w:gridSpan w:val="9"/>
            <w:tcBorders>
              <w:top w:val="none" w:sz="0" w:space="0" w:color="auto"/>
              <w:left w:val="none" w:sz="0" w:space="0" w:color="auto"/>
              <w:bottom w:val="none" w:sz="0" w:space="0" w:color="auto"/>
              <w:right w:val="none" w:sz="0" w:space="0" w:color="auto"/>
            </w:tcBorders>
            <w:shd w:val="clear" w:color="auto" w:fill="C0DEE0" w:themeFill="accent2" w:themeFillShade="E6"/>
          </w:tcPr>
          <w:p w14:paraId="5FC8B6EA" w14:textId="7D82A4A8" w:rsidR="002B5543" w:rsidRPr="00F6723D" w:rsidRDefault="002B5543" w:rsidP="00AB248F">
            <w:pPr>
              <w:rPr>
                <w:b w:val="0"/>
                <w:bCs w:val="0"/>
                <w:szCs w:val="28"/>
                <w:lang w:val="en-AU"/>
              </w:rPr>
            </w:pPr>
            <w:r w:rsidRPr="00F6723D">
              <w:rPr>
                <w:szCs w:val="28"/>
                <w:lang w:val="en-AU"/>
              </w:rPr>
              <w:t>Impact Area 1: Functional independence</w:t>
            </w:r>
          </w:p>
        </w:tc>
      </w:tr>
      <w:tr w:rsidR="002B5543" w14:paraId="312E5C9A" w14:textId="77777777" w:rsidTr="0039062A">
        <w:tc>
          <w:tcPr>
            <w:cnfStyle w:val="001000000000" w:firstRow="0" w:lastRow="0" w:firstColumn="1" w:lastColumn="0" w:oddVBand="0" w:evenVBand="0" w:oddHBand="0" w:evenHBand="0" w:firstRowFirstColumn="0" w:firstRowLastColumn="0" w:lastRowFirstColumn="0" w:lastRowLastColumn="0"/>
            <w:tcW w:w="1659" w:type="dxa"/>
          </w:tcPr>
          <w:p w14:paraId="461AF4EF" w14:textId="77777777" w:rsidR="002B5543" w:rsidRPr="00F11585" w:rsidRDefault="002B5543" w:rsidP="00AB248F">
            <w:pPr>
              <w:rPr>
                <w:szCs w:val="28"/>
                <w:lang w:eastAsia="en-GB"/>
              </w:rPr>
            </w:pPr>
            <w:r w:rsidRPr="00F11585">
              <w:rPr>
                <w:szCs w:val="28"/>
                <w:lang w:val="en-AU"/>
              </w:rPr>
              <w:t>a. Improved ability to travel (alone) outside of the house in local area</w:t>
            </w:r>
          </w:p>
        </w:tc>
        <w:tc>
          <w:tcPr>
            <w:tcW w:w="1292" w:type="dxa"/>
          </w:tcPr>
          <w:p w14:paraId="1333502A" w14:textId="77777777" w:rsidR="002B5543" w:rsidRPr="00F11585" w:rsidRDefault="002B5543" w:rsidP="00AB248F">
            <w:pPr>
              <w:cnfStyle w:val="000000000000" w:firstRow="0" w:lastRow="0" w:firstColumn="0" w:lastColumn="0" w:oddVBand="0" w:evenVBand="0" w:oddHBand="0" w:evenHBand="0" w:firstRowFirstColumn="0" w:firstRowLastColumn="0" w:lastRowFirstColumn="0" w:lastRowLastColumn="0"/>
              <w:rPr>
                <w:szCs w:val="28"/>
                <w:lang w:eastAsia="en-GB"/>
              </w:rPr>
            </w:pPr>
            <w:r w:rsidRPr="00F11585">
              <w:rPr>
                <w:szCs w:val="28"/>
                <w:lang w:val="en-AU"/>
              </w:rPr>
              <w:t>Reduced reliance on family members/carers for transport</w:t>
            </w:r>
          </w:p>
        </w:tc>
        <w:tc>
          <w:tcPr>
            <w:tcW w:w="1655" w:type="dxa"/>
          </w:tcPr>
          <w:p w14:paraId="32971ED8" w14:textId="77777777" w:rsidR="002B5543" w:rsidRPr="00F11585" w:rsidRDefault="002B5543" w:rsidP="00AB248F">
            <w:pPr>
              <w:cnfStyle w:val="000000000000" w:firstRow="0" w:lastRow="0" w:firstColumn="0" w:lastColumn="0" w:oddVBand="0" w:evenVBand="0" w:oddHBand="0" w:evenHBand="0" w:firstRowFirstColumn="0" w:firstRowLastColumn="0" w:lastRowFirstColumn="0" w:lastRowLastColumn="0"/>
              <w:rPr>
                <w:szCs w:val="28"/>
                <w:lang w:val="en-AU"/>
              </w:rPr>
            </w:pPr>
            <w:r w:rsidRPr="00F11585">
              <w:rPr>
                <w:szCs w:val="28"/>
                <w:lang w:val="en-AU"/>
              </w:rPr>
              <w:t>Community transport costs</w:t>
            </w:r>
          </w:p>
          <w:p w14:paraId="6A871829" w14:textId="198BE512" w:rsidR="002B5543" w:rsidRPr="00F11585" w:rsidRDefault="002B5543" w:rsidP="00AB248F">
            <w:pPr>
              <w:cnfStyle w:val="000000000000" w:firstRow="0" w:lastRow="0" w:firstColumn="0" w:lastColumn="0" w:oddVBand="0" w:evenVBand="0" w:oddHBand="0" w:evenHBand="0" w:firstRowFirstColumn="0" w:firstRowLastColumn="0" w:lastRowFirstColumn="0" w:lastRowLastColumn="0"/>
              <w:rPr>
                <w:szCs w:val="28"/>
                <w:lang w:val="en-AU"/>
              </w:rPr>
            </w:pPr>
            <w:r w:rsidRPr="00F11585">
              <w:rPr>
                <w:szCs w:val="28"/>
                <w:lang w:val="en-AU"/>
              </w:rPr>
              <w:t>£19.80 per trip</w:t>
            </w:r>
          </w:p>
          <w:p w14:paraId="5BB6D8F9" w14:textId="77777777" w:rsidR="002B5543" w:rsidRPr="00F11585" w:rsidRDefault="002B5543" w:rsidP="00AB248F">
            <w:pPr>
              <w:cnfStyle w:val="000000000000" w:firstRow="0" w:lastRow="0" w:firstColumn="0" w:lastColumn="0" w:oddVBand="0" w:evenVBand="0" w:oddHBand="0" w:evenHBand="0" w:firstRowFirstColumn="0" w:firstRowLastColumn="0" w:lastRowFirstColumn="0" w:lastRowLastColumn="0"/>
              <w:rPr>
                <w:szCs w:val="28"/>
                <w:lang w:val="en-AU"/>
              </w:rPr>
            </w:pPr>
            <w:r w:rsidRPr="00F11585">
              <w:rPr>
                <w:szCs w:val="28"/>
                <w:lang w:val="en-AU"/>
              </w:rPr>
              <w:t xml:space="preserve">Age Scotland. 2013. </w:t>
            </w:r>
          </w:p>
          <w:p w14:paraId="10AEC0DF" w14:textId="77777777" w:rsidR="002B5543" w:rsidRPr="00416B3C" w:rsidRDefault="002B5543" w:rsidP="00AB248F">
            <w:pPr>
              <w:cnfStyle w:val="000000000000" w:firstRow="0" w:lastRow="0" w:firstColumn="0" w:lastColumn="0" w:oddVBand="0" w:evenVBand="0" w:oddHBand="0" w:evenHBand="0" w:firstRowFirstColumn="0" w:firstRowLastColumn="0" w:lastRowFirstColumn="0" w:lastRowLastColumn="0"/>
              <w:rPr>
                <w:sz w:val="20"/>
                <w:lang w:eastAsia="en-GB"/>
              </w:rPr>
            </w:pPr>
          </w:p>
        </w:tc>
        <w:tc>
          <w:tcPr>
            <w:tcW w:w="2047" w:type="dxa"/>
          </w:tcPr>
          <w:p w14:paraId="1B29DA85" w14:textId="77777777" w:rsidR="002B5543" w:rsidRPr="00F11585" w:rsidRDefault="002B5543" w:rsidP="00AB248F">
            <w:pPr>
              <w:cnfStyle w:val="000000000000" w:firstRow="0" w:lastRow="0" w:firstColumn="0" w:lastColumn="0" w:oddVBand="0" w:evenVBand="0" w:oddHBand="0" w:evenHBand="0" w:firstRowFirstColumn="0" w:firstRowLastColumn="0" w:lastRowFirstColumn="0" w:lastRowLastColumn="0"/>
              <w:rPr>
                <w:szCs w:val="28"/>
                <w:lang w:val="en-AU"/>
              </w:rPr>
            </w:pPr>
            <w:r w:rsidRPr="00F11585">
              <w:rPr>
                <w:szCs w:val="28"/>
                <w:lang w:val="en-AU"/>
              </w:rPr>
              <w:t xml:space="preserve">The majority of community transport trips are for social outings, shopping and health appointments. </w:t>
            </w:r>
          </w:p>
          <w:p w14:paraId="2FB0D9F0" w14:textId="77777777" w:rsidR="002B5543" w:rsidRPr="00880525" w:rsidRDefault="002B5543" w:rsidP="00AB248F">
            <w:pPr>
              <w:cnfStyle w:val="000000000000" w:firstRow="0" w:lastRow="0" w:firstColumn="0" w:lastColumn="0" w:oddVBand="0" w:evenVBand="0" w:oddHBand="0" w:evenHBand="0" w:firstRowFirstColumn="0" w:firstRowLastColumn="0" w:lastRowFirstColumn="0" w:lastRowLastColumn="0"/>
              <w:rPr>
                <w:sz w:val="20"/>
                <w:lang w:val="en-AU"/>
              </w:rPr>
            </w:pPr>
            <w:r w:rsidRPr="00F11585">
              <w:rPr>
                <w:szCs w:val="28"/>
                <w:lang w:val="en-AU"/>
              </w:rPr>
              <w:t>Increased mobility in the local area is assumed to reduce the need for two trips on community</w:t>
            </w:r>
            <w:r w:rsidRPr="00880525">
              <w:rPr>
                <w:sz w:val="20"/>
                <w:lang w:val="en-AU"/>
              </w:rPr>
              <w:t xml:space="preserve"> transport per week. </w:t>
            </w:r>
          </w:p>
        </w:tc>
        <w:tc>
          <w:tcPr>
            <w:tcW w:w="992" w:type="dxa"/>
          </w:tcPr>
          <w:p w14:paraId="2EA599D1" w14:textId="4494A285"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szCs w:val="28"/>
                <w:lang w:eastAsia="en-GB"/>
              </w:rPr>
            </w:pPr>
            <w:r w:rsidRPr="0039062A">
              <w:rPr>
                <w:szCs w:val="28"/>
                <w:lang w:val="en-AU"/>
              </w:rPr>
              <w:t>£2,059</w:t>
            </w:r>
          </w:p>
        </w:tc>
        <w:tc>
          <w:tcPr>
            <w:tcW w:w="1559" w:type="dxa"/>
          </w:tcPr>
          <w:p w14:paraId="220AA14C" w14:textId="6A53C1DF"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szCs w:val="28"/>
                <w:lang w:val="en-AU"/>
              </w:rPr>
            </w:pPr>
            <w:r w:rsidRPr="0039062A">
              <w:rPr>
                <w:szCs w:val="28"/>
                <w:lang w:val="en-AU"/>
              </w:rPr>
              <w:t>16% of 702</w:t>
            </w:r>
          </w:p>
          <w:p w14:paraId="3B4CE0B0"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szCs w:val="28"/>
                <w:lang w:eastAsia="en-GB"/>
              </w:rPr>
            </w:pPr>
          </w:p>
        </w:tc>
        <w:tc>
          <w:tcPr>
            <w:tcW w:w="2140" w:type="dxa"/>
          </w:tcPr>
          <w:p w14:paraId="0F548A45"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szCs w:val="28"/>
                <w:lang w:val="en-AU"/>
              </w:rPr>
            </w:pPr>
            <w:r w:rsidRPr="0039062A">
              <w:rPr>
                <w:szCs w:val="28"/>
                <w:lang w:val="en-AU"/>
              </w:rPr>
              <w:t xml:space="preserve">Interviews with Sight for Surrey (SfS) service users showed increased mobility outcomes to be more evident among younger service users (those 65 and under). </w:t>
            </w:r>
          </w:p>
          <w:p w14:paraId="485295C1" w14:textId="063A9680"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szCs w:val="28"/>
                <w:lang w:val="en-AU"/>
              </w:rPr>
            </w:pPr>
            <w:r w:rsidRPr="0039062A">
              <w:rPr>
                <w:szCs w:val="28"/>
                <w:lang w:val="en-AU"/>
              </w:rPr>
              <w:t>The proportion is therefore based on the proportion of SfS service users under 65 (drawn from 2015/16 reports to Surrey County Council).</w:t>
            </w:r>
          </w:p>
        </w:tc>
        <w:tc>
          <w:tcPr>
            <w:tcW w:w="1687" w:type="dxa"/>
            <w:shd w:val="clear" w:color="auto" w:fill="auto"/>
          </w:tcPr>
          <w:p w14:paraId="6763BD33"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szCs w:val="28"/>
              </w:rPr>
            </w:pPr>
            <w:r w:rsidRPr="0039062A">
              <w:rPr>
                <w:szCs w:val="28"/>
              </w:rPr>
              <w:t>10%</w:t>
            </w:r>
          </w:p>
          <w:p w14:paraId="2A0827A0" w14:textId="384B3B80"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b/>
                <w:szCs w:val="28"/>
                <w:highlight w:val="yellow"/>
              </w:rPr>
            </w:pPr>
            <w:r w:rsidRPr="0039062A">
              <w:rPr>
                <w:szCs w:val="28"/>
              </w:rPr>
              <w:t>(Quartile approach)</w:t>
            </w:r>
            <w:r w:rsidRPr="0039062A">
              <w:rPr>
                <w:b/>
                <w:szCs w:val="28"/>
              </w:rPr>
              <w:t xml:space="preserve"> </w:t>
            </w:r>
          </w:p>
        </w:tc>
        <w:tc>
          <w:tcPr>
            <w:tcW w:w="1418" w:type="dxa"/>
          </w:tcPr>
          <w:p w14:paraId="2347DA84" w14:textId="0A631048"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b/>
                <w:szCs w:val="28"/>
              </w:rPr>
            </w:pPr>
            <w:r w:rsidRPr="0039062A">
              <w:rPr>
                <w:b/>
                <w:szCs w:val="28"/>
              </w:rPr>
              <w:t>£23,129</w:t>
            </w:r>
          </w:p>
          <w:p w14:paraId="1696C5C9"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szCs w:val="28"/>
                <w:highlight w:val="yellow"/>
                <w:lang w:eastAsia="en-GB"/>
              </w:rPr>
            </w:pPr>
          </w:p>
        </w:tc>
      </w:tr>
      <w:tr w:rsidR="002B5543" w14:paraId="52441205" w14:textId="77777777" w:rsidTr="00390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Borders>
              <w:top w:val="none" w:sz="0" w:space="0" w:color="auto"/>
              <w:left w:val="none" w:sz="0" w:space="0" w:color="auto"/>
              <w:bottom w:val="none" w:sz="0" w:space="0" w:color="auto"/>
            </w:tcBorders>
          </w:tcPr>
          <w:p w14:paraId="5AA35CB5" w14:textId="77777777" w:rsidR="002B5543" w:rsidRPr="0039062A" w:rsidRDefault="002B5543" w:rsidP="00AB248F">
            <w:pPr>
              <w:rPr>
                <w:szCs w:val="28"/>
                <w:lang w:val="en-AU"/>
              </w:rPr>
            </w:pPr>
            <w:r w:rsidRPr="0039062A">
              <w:rPr>
                <w:szCs w:val="28"/>
                <w:lang w:val="en-AU"/>
              </w:rPr>
              <w:t>b. Improved ability to travel (alone) on public transport</w:t>
            </w:r>
          </w:p>
        </w:tc>
        <w:tc>
          <w:tcPr>
            <w:tcW w:w="1292" w:type="dxa"/>
            <w:tcBorders>
              <w:top w:val="none" w:sz="0" w:space="0" w:color="auto"/>
              <w:bottom w:val="none" w:sz="0" w:space="0" w:color="auto"/>
            </w:tcBorders>
          </w:tcPr>
          <w:p w14:paraId="482860A6"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Reduced need for home healthcare visits</w:t>
            </w:r>
          </w:p>
        </w:tc>
        <w:tc>
          <w:tcPr>
            <w:tcW w:w="1655" w:type="dxa"/>
            <w:tcBorders>
              <w:top w:val="none" w:sz="0" w:space="0" w:color="auto"/>
              <w:bottom w:val="none" w:sz="0" w:space="0" w:color="auto"/>
            </w:tcBorders>
          </w:tcPr>
          <w:p w14:paraId="5010926D"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Home visit by GP</w:t>
            </w:r>
          </w:p>
          <w:p w14:paraId="26CE3C70"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£121.50 / visit</w:t>
            </w:r>
          </w:p>
          <w:p w14:paraId="50F14A30"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 xml:space="preserve">New Economy. 2015. </w:t>
            </w:r>
          </w:p>
        </w:tc>
        <w:tc>
          <w:tcPr>
            <w:tcW w:w="2047" w:type="dxa"/>
            <w:tcBorders>
              <w:top w:val="none" w:sz="0" w:space="0" w:color="auto"/>
              <w:bottom w:val="none" w:sz="0" w:space="0" w:color="auto"/>
            </w:tcBorders>
          </w:tcPr>
          <w:p w14:paraId="53B7E170"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One less home visit per quarter.</w:t>
            </w:r>
          </w:p>
          <w:p w14:paraId="505062E6" w14:textId="18C9A146"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This is a conservative assumption based on evidence that shows the average member of the public in the UK visits a GP 6 times per year [</w:t>
            </w:r>
            <w:r w:rsidRPr="0039062A">
              <w:rPr>
                <w:rStyle w:val="EndnoteReference"/>
                <w:rFonts w:asciiTheme="minorHAnsi" w:hAnsiTheme="minorHAnsi" w:cstheme="minorHAnsi"/>
                <w:szCs w:val="28"/>
              </w:rPr>
              <w:endnoteReference w:id="60"/>
            </w:r>
            <w:r w:rsidRPr="0039062A">
              <w:rPr>
                <w:rFonts w:cstheme="minorHAnsi"/>
                <w:szCs w:val="28"/>
                <w:lang w:val="en-AU"/>
              </w:rPr>
              <w:t>]</w:t>
            </w:r>
            <w:r w:rsidRPr="0039062A">
              <w:rPr>
                <w:rFonts w:cstheme="minorHAnsi"/>
                <w:szCs w:val="28"/>
              </w:rPr>
              <w:t>.</w:t>
            </w:r>
            <w:r w:rsidRPr="0039062A">
              <w:rPr>
                <w:rFonts w:cstheme="minorHAnsi"/>
                <w:szCs w:val="28"/>
                <w:lang w:val="en-AU"/>
              </w:rPr>
              <w:t xml:space="preserve">  </w:t>
            </w:r>
          </w:p>
        </w:tc>
        <w:tc>
          <w:tcPr>
            <w:tcW w:w="992" w:type="dxa"/>
            <w:tcBorders>
              <w:top w:val="none" w:sz="0" w:space="0" w:color="auto"/>
              <w:bottom w:val="none" w:sz="0" w:space="0" w:color="auto"/>
            </w:tcBorders>
          </w:tcPr>
          <w:p w14:paraId="36EEE9E5"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£486</w:t>
            </w:r>
          </w:p>
        </w:tc>
        <w:tc>
          <w:tcPr>
            <w:tcW w:w="1559" w:type="dxa"/>
            <w:tcBorders>
              <w:top w:val="none" w:sz="0" w:space="0" w:color="auto"/>
              <w:bottom w:val="none" w:sz="0" w:space="0" w:color="auto"/>
            </w:tcBorders>
          </w:tcPr>
          <w:p w14:paraId="068FD5F4" w14:textId="4291F36F"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16% of 702</w:t>
            </w:r>
          </w:p>
          <w:p w14:paraId="570FAA5C" w14:textId="0A87AD54"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p>
        </w:tc>
        <w:tc>
          <w:tcPr>
            <w:tcW w:w="2140" w:type="dxa"/>
            <w:tcBorders>
              <w:top w:val="none" w:sz="0" w:space="0" w:color="auto"/>
              <w:bottom w:val="none" w:sz="0" w:space="0" w:color="auto"/>
            </w:tcBorders>
          </w:tcPr>
          <w:p w14:paraId="0F077885"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 xml:space="preserve">Interviews with SfS service users showed increased mobility outcomes to be more evident among younger service users (those 65 and under). </w:t>
            </w:r>
          </w:p>
          <w:p w14:paraId="2CA74BC7"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The proportion is therefore based on the proportion of SfS service users under 65.</w:t>
            </w:r>
          </w:p>
        </w:tc>
        <w:tc>
          <w:tcPr>
            <w:tcW w:w="1687" w:type="dxa"/>
            <w:tcBorders>
              <w:top w:val="none" w:sz="0" w:space="0" w:color="auto"/>
              <w:bottom w:val="none" w:sz="0" w:space="0" w:color="auto"/>
            </w:tcBorders>
          </w:tcPr>
          <w:p w14:paraId="68D0E351"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rPr>
            </w:pPr>
            <w:r w:rsidRPr="0039062A">
              <w:rPr>
                <w:rFonts w:cstheme="minorHAnsi"/>
                <w:szCs w:val="28"/>
              </w:rPr>
              <w:t>10%</w:t>
            </w:r>
          </w:p>
          <w:p w14:paraId="099B037F" w14:textId="30AD89EC"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b/>
                <w:szCs w:val="28"/>
                <w:highlight w:val="yellow"/>
              </w:rPr>
            </w:pPr>
            <w:r w:rsidRPr="0039062A">
              <w:rPr>
                <w:rFonts w:cstheme="minorHAnsi"/>
                <w:szCs w:val="28"/>
              </w:rPr>
              <w:t>(Quartile approach)</w:t>
            </w:r>
          </w:p>
        </w:tc>
        <w:tc>
          <w:tcPr>
            <w:tcW w:w="1418" w:type="dxa"/>
            <w:tcBorders>
              <w:top w:val="none" w:sz="0" w:space="0" w:color="auto"/>
              <w:bottom w:val="none" w:sz="0" w:space="0" w:color="auto"/>
              <w:right w:val="none" w:sz="0" w:space="0" w:color="auto"/>
            </w:tcBorders>
          </w:tcPr>
          <w:p w14:paraId="2912D362" w14:textId="22B4CC85"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b/>
                <w:szCs w:val="28"/>
                <w:highlight w:val="yellow"/>
              </w:rPr>
            </w:pPr>
            <w:r w:rsidRPr="0039062A">
              <w:rPr>
                <w:rFonts w:cstheme="minorHAnsi"/>
                <w:b/>
                <w:szCs w:val="28"/>
              </w:rPr>
              <w:t>£5,459</w:t>
            </w:r>
          </w:p>
        </w:tc>
      </w:tr>
      <w:tr w:rsidR="002B5543" w14:paraId="41D0CE8B" w14:textId="77777777" w:rsidTr="0039062A">
        <w:tc>
          <w:tcPr>
            <w:cnfStyle w:val="001000000000" w:firstRow="0" w:lastRow="0" w:firstColumn="1" w:lastColumn="0" w:oddVBand="0" w:evenVBand="0" w:oddHBand="0" w:evenHBand="0" w:firstRowFirstColumn="0" w:firstRowLastColumn="0" w:lastRowFirstColumn="0" w:lastRowLastColumn="0"/>
            <w:tcW w:w="1659" w:type="dxa"/>
          </w:tcPr>
          <w:p w14:paraId="1874253B" w14:textId="77777777" w:rsidR="002B5543" w:rsidRPr="0039062A" w:rsidRDefault="002B5543" w:rsidP="00AB248F">
            <w:pPr>
              <w:rPr>
                <w:szCs w:val="28"/>
                <w:lang w:val="en-AU"/>
              </w:rPr>
            </w:pPr>
            <w:r w:rsidRPr="0039062A">
              <w:rPr>
                <w:szCs w:val="28"/>
                <w:lang w:val="en-AU"/>
              </w:rPr>
              <w:t>c. Increased ability to complete daily living tasks in the home independently -  does not require outside assistance</w:t>
            </w:r>
          </w:p>
        </w:tc>
        <w:tc>
          <w:tcPr>
            <w:tcW w:w="1292" w:type="dxa"/>
          </w:tcPr>
          <w:p w14:paraId="3AC512FD"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Reduced use of conventional home care services</w:t>
            </w:r>
          </w:p>
        </w:tc>
        <w:tc>
          <w:tcPr>
            <w:tcW w:w="1655" w:type="dxa"/>
          </w:tcPr>
          <w:p w14:paraId="3576437C"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Home care costs</w:t>
            </w:r>
          </w:p>
          <w:p w14:paraId="1507C224"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 xml:space="preserve">£178 / week </w:t>
            </w:r>
          </w:p>
          <w:p w14:paraId="65AFAD9A"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(based on 9 hours of care – average for adult with physical disability)</w:t>
            </w:r>
          </w:p>
          <w:p w14:paraId="1FA3D493"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i/>
                <w:szCs w:val="28"/>
                <w:lang w:val="en-AU"/>
              </w:rPr>
            </w:pPr>
            <w:r w:rsidRPr="0039062A">
              <w:rPr>
                <w:rFonts w:cstheme="minorHAnsi"/>
                <w:szCs w:val="28"/>
              </w:rPr>
              <w:t>Curtis &amp; Burns. 2015.</w:t>
            </w:r>
          </w:p>
        </w:tc>
        <w:tc>
          <w:tcPr>
            <w:tcW w:w="2047" w:type="dxa"/>
          </w:tcPr>
          <w:p w14:paraId="6B1EC6E5"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 xml:space="preserve">Home care no longer required for at least one year beyond the vision rehabilitation service. </w:t>
            </w:r>
          </w:p>
          <w:p w14:paraId="16C12193"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 xml:space="preserve">This assumption is based on the effect of vision rehabilitation lasting for 12 months beyond the service – see discussion above about reablement as a proxy for vision rehabilitation.  </w:t>
            </w:r>
          </w:p>
        </w:tc>
        <w:tc>
          <w:tcPr>
            <w:tcW w:w="992" w:type="dxa"/>
          </w:tcPr>
          <w:p w14:paraId="0A31CAEA"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£9,256</w:t>
            </w:r>
          </w:p>
        </w:tc>
        <w:tc>
          <w:tcPr>
            <w:tcW w:w="1559" w:type="dxa"/>
          </w:tcPr>
          <w:p w14:paraId="33422390" w14:textId="40AE8375"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68% of 702</w:t>
            </w:r>
          </w:p>
        </w:tc>
        <w:tc>
          <w:tcPr>
            <w:tcW w:w="2140" w:type="dxa"/>
          </w:tcPr>
          <w:p w14:paraId="0B5B19C4" w14:textId="5FC1E05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According to studies on the outcomes of reablement services [</w:t>
            </w:r>
            <w:r w:rsidRPr="0039062A">
              <w:rPr>
                <w:rStyle w:val="EndnoteReference"/>
                <w:rFonts w:asciiTheme="minorHAnsi" w:hAnsiTheme="minorHAnsi" w:cstheme="minorHAnsi"/>
                <w:szCs w:val="28"/>
              </w:rPr>
              <w:endnoteReference w:id="61"/>
            </w:r>
            <w:r w:rsidRPr="0039062A">
              <w:rPr>
                <w:rFonts w:cstheme="minorHAnsi"/>
                <w:szCs w:val="28"/>
                <w:lang w:val="en-AU"/>
              </w:rPr>
              <w:t xml:space="preserve">] on conventional homecare usage 58% to 78% of reablement service users need no further home care on discharge from a reablement service episode. </w:t>
            </w:r>
          </w:p>
          <w:p w14:paraId="40F82E7F"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 xml:space="preserve">The proportion is taken as the midpoint of this range (68%). </w:t>
            </w:r>
          </w:p>
        </w:tc>
        <w:tc>
          <w:tcPr>
            <w:tcW w:w="1687" w:type="dxa"/>
          </w:tcPr>
          <w:p w14:paraId="4A89BC3C"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rPr>
            </w:pPr>
            <w:r w:rsidRPr="0039062A">
              <w:rPr>
                <w:rFonts w:cstheme="minorHAnsi"/>
                <w:szCs w:val="28"/>
              </w:rPr>
              <w:t>10%</w:t>
            </w:r>
          </w:p>
          <w:p w14:paraId="66030F91" w14:textId="2107365F"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b/>
                <w:szCs w:val="28"/>
                <w:highlight w:val="yellow"/>
              </w:rPr>
            </w:pPr>
            <w:r w:rsidRPr="0039062A">
              <w:rPr>
                <w:rFonts w:cstheme="minorHAnsi"/>
                <w:szCs w:val="28"/>
              </w:rPr>
              <w:t>(Quartile approach)</w:t>
            </w:r>
          </w:p>
        </w:tc>
        <w:tc>
          <w:tcPr>
            <w:tcW w:w="1418" w:type="dxa"/>
          </w:tcPr>
          <w:p w14:paraId="0C1CA41E" w14:textId="75A509BC"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b/>
                <w:szCs w:val="28"/>
                <w:highlight w:val="yellow"/>
              </w:rPr>
            </w:pPr>
            <w:r w:rsidRPr="0039062A">
              <w:rPr>
                <w:rFonts w:cstheme="minorHAnsi"/>
                <w:b/>
                <w:szCs w:val="28"/>
              </w:rPr>
              <w:t>£441,844</w:t>
            </w:r>
          </w:p>
        </w:tc>
      </w:tr>
      <w:tr w:rsidR="002B5543" w14:paraId="27A23274" w14:textId="77777777" w:rsidTr="00390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Borders>
              <w:top w:val="none" w:sz="0" w:space="0" w:color="auto"/>
              <w:left w:val="none" w:sz="0" w:space="0" w:color="auto"/>
              <w:bottom w:val="none" w:sz="0" w:space="0" w:color="auto"/>
            </w:tcBorders>
          </w:tcPr>
          <w:p w14:paraId="02907474" w14:textId="77777777" w:rsidR="002B5543" w:rsidRPr="0039062A" w:rsidRDefault="002B5543" w:rsidP="00AB248F">
            <w:pPr>
              <w:rPr>
                <w:szCs w:val="28"/>
                <w:lang w:val="en-AU"/>
              </w:rPr>
            </w:pPr>
            <w:r w:rsidRPr="0039062A">
              <w:rPr>
                <w:szCs w:val="28"/>
                <w:lang w:val="en-AU"/>
              </w:rPr>
              <w:t>d. Increased ability to complete daily living tasks in the home independently -  stays in own home longer</w:t>
            </w:r>
          </w:p>
        </w:tc>
        <w:tc>
          <w:tcPr>
            <w:tcW w:w="1292" w:type="dxa"/>
            <w:tcBorders>
              <w:top w:val="none" w:sz="0" w:space="0" w:color="auto"/>
              <w:bottom w:val="none" w:sz="0" w:space="0" w:color="auto"/>
            </w:tcBorders>
          </w:tcPr>
          <w:p w14:paraId="7AD04454"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Delay in accessing residential care</w:t>
            </w:r>
          </w:p>
        </w:tc>
        <w:tc>
          <w:tcPr>
            <w:tcW w:w="1655" w:type="dxa"/>
            <w:tcBorders>
              <w:top w:val="none" w:sz="0" w:space="0" w:color="auto"/>
              <w:bottom w:val="none" w:sz="0" w:space="0" w:color="auto"/>
            </w:tcBorders>
          </w:tcPr>
          <w:p w14:paraId="22DA4195"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Residential care costs</w:t>
            </w:r>
          </w:p>
          <w:p w14:paraId="2A12AD4C"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£877 / week</w:t>
            </w:r>
          </w:p>
          <w:p w14:paraId="298F10FB"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 xml:space="preserve">This is an average of the cost of residential care (incl. establishment costs and personal living expenses allowance) in the private and public sector.  </w:t>
            </w:r>
          </w:p>
          <w:p w14:paraId="708B34E3"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rPr>
              <w:t>Curtis &amp; Burns. 2015.</w:t>
            </w:r>
          </w:p>
        </w:tc>
        <w:tc>
          <w:tcPr>
            <w:tcW w:w="2047" w:type="dxa"/>
            <w:tcBorders>
              <w:top w:val="none" w:sz="0" w:space="0" w:color="auto"/>
              <w:bottom w:val="none" w:sz="0" w:space="0" w:color="auto"/>
            </w:tcBorders>
          </w:tcPr>
          <w:p w14:paraId="2778E226"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 xml:space="preserve">The need for residential care is deferred into the non-immediate future (at least one year beyond the vision rehabilitation service). </w:t>
            </w:r>
          </w:p>
        </w:tc>
        <w:tc>
          <w:tcPr>
            <w:tcW w:w="992" w:type="dxa"/>
            <w:tcBorders>
              <w:top w:val="none" w:sz="0" w:space="0" w:color="auto"/>
              <w:bottom w:val="none" w:sz="0" w:space="0" w:color="auto"/>
            </w:tcBorders>
          </w:tcPr>
          <w:p w14:paraId="6388A50B"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£45,604</w:t>
            </w:r>
          </w:p>
        </w:tc>
        <w:tc>
          <w:tcPr>
            <w:tcW w:w="1559" w:type="dxa"/>
            <w:tcBorders>
              <w:top w:val="none" w:sz="0" w:space="0" w:color="auto"/>
              <w:bottom w:val="none" w:sz="0" w:space="0" w:color="auto"/>
            </w:tcBorders>
          </w:tcPr>
          <w:p w14:paraId="0C307DA7" w14:textId="5DFEE4E3"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68% of 702</w:t>
            </w:r>
          </w:p>
        </w:tc>
        <w:tc>
          <w:tcPr>
            <w:tcW w:w="2140" w:type="dxa"/>
            <w:tcBorders>
              <w:top w:val="none" w:sz="0" w:space="0" w:color="auto"/>
              <w:bottom w:val="none" w:sz="0" w:space="0" w:color="auto"/>
            </w:tcBorders>
          </w:tcPr>
          <w:p w14:paraId="3B511D4D"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 xml:space="preserve">As above. </w:t>
            </w:r>
          </w:p>
        </w:tc>
        <w:tc>
          <w:tcPr>
            <w:tcW w:w="1687" w:type="dxa"/>
            <w:tcBorders>
              <w:top w:val="none" w:sz="0" w:space="0" w:color="auto"/>
              <w:bottom w:val="none" w:sz="0" w:space="0" w:color="auto"/>
            </w:tcBorders>
          </w:tcPr>
          <w:p w14:paraId="6633DAE5"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rPr>
            </w:pPr>
            <w:r w:rsidRPr="0039062A">
              <w:rPr>
                <w:rFonts w:cstheme="minorHAnsi"/>
                <w:szCs w:val="28"/>
              </w:rPr>
              <w:t>10%</w:t>
            </w:r>
          </w:p>
          <w:p w14:paraId="24A65EAE" w14:textId="6E617DB2"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b/>
                <w:szCs w:val="28"/>
                <w:highlight w:val="yellow"/>
              </w:rPr>
            </w:pPr>
            <w:r w:rsidRPr="0039062A">
              <w:rPr>
                <w:rFonts w:cstheme="minorHAnsi"/>
                <w:szCs w:val="28"/>
              </w:rPr>
              <w:t>(Quartile approach)</w:t>
            </w:r>
          </w:p>
        </w:tc>
        <w:tc>
          <w:tcPr>
            <w:tcW w:w="1418" w:type="dxa"/>
            <w:tcBorders>
              <w:top w:val="none" w:sz="0" w:space="0" w:color="auto"/>
              <w:bottom w:val="none" w:sz="0" w:space="0" w:color="auto"/>
              <w:right w:val="none" w:sz="0" w:space="0" w:color="auto"/>
            </w:tcBorders>
          </w:tcPr>
          <w:p w14:paraId="31DDDE34" w14:textId="42A39DD8"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b/>
                <w:szCs w:val="28"/>
                <w:highlight w:val="yellow"/>
              </w:rPr>
            </w:pPr>
            <w:r w:rsidRPr="0039062A">
              <w:rPr>
                <w:rFonts w:cstheme="minorHAnsi"/>
                <w:b/>
                <w:szCs w:val="28"/>
              </w:rPr>
              <w:t>£2,176,953</w:t>
            </w:r>
          </w:p>
        </w:tc>
      </w:tr>
      <w:tr w:rsidR="002B5543" w14:paraId="3EFBBEA1" w14:textId="77777777" w:rsidTr="0039062A">
        <w:tc>
          <w:tcPr>
            <w:cnfStyle w:val="001000000000" w:firstRow="0" w:lastRow="0" w:firstColumn="1" w:lastColumn="0" w:oddVBand="0" w:evenVBand="0" w:oddHBand="0" w:evenHBand="0" w:firstRowFirstColumn="0" w:firstRowLastColumn="0" w:lastRowFirstColumn="0" w:lastRowLastColumn="0"/>
            <w:tcW w:w="1659" w:type="dxa"/>
          </w:tcPr>
          <w:p w14:paraId="14766383" w14:textId="77777777" w:rsidR="002B5543" w:rsidRPr="0039062A" w:rsidRDefault="002B5543" w:rsidP="00AB248F">
            <w:pPr>
              <w:rPr>
                <w:szCs w:val="28"/>
                <w:lang w:val="en-AU"/>
              </w:rPr>
            </w:pPr>
            <w:r w:rsidRPr="0039062A">
              <w:rPr>
                <w:szCs w:val="28"/>
                <w:lang w:val="en-AU"/>
              </w:rPr>
              <w:t>e. Increased ability to complete daily living tasks in the home independently -  relies less on family members/carer</w:t>
            </w:r>
          </w:p>
        </w:tc>
        <w:tc>
          <w:tcPr>
            <w:tcW w:w="1292" w:type="dxa"/>
          </w:tcPr>
          <w:p w14:paraId="1CD44420"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Reduced use of day or respite care</w:t>
            </w:r>
          </w:p>
        </w:tc>
        <w:tc>
          <w:tcPr>
            <w:tcW w:w="1655" w:type="dxa"/>
          </w:tcPr>
          <w:p w14:paraId="1646478F"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Day care costs</w:t>
            </w:r>
          </w:p>
          <w:p w14:paraId="2133FAD0"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£65 / session</w:t>
            </w:r>
          </w:p>
          <w:p w14:paraId="6229CA70"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 xml:space="preserve">£86 / week (1.3 sessions) </w:t>
            </w:r>
          </w:p>
          <w:p w14:paraId="78481276"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 xml:space="preserve">The proxy figure is the midpoint of the average cost of day care through public and private providers for people with physical disabilities </w:t>
            </w:r>
          </w:p>
          <w:p w14:paraId="7FF928A8"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rPr>
              <w:t>Curtis &amp; Burns. 2015.</w:t>
            </w:r>
          </w:p>
        </w:tc>
        <w:tc>
          <w:tcPr>
            <w:tcW w:w="2047" w:type="dxa"/>
          </w:tcPr>
          <w:p w14:paraId="1499B589"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 xml:space="preserve">Number of days of day/respite care attended is halved – from an average of 2.6 times a week (the average for people with physical disabilities), to 1.3 times per week. </w:t>
            </w:r>
          </w:p>
          <w:p w14:paraId="67D61006"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 xml:space="preserve">This is a conservative assumption based on the reduction in the need for care in the home from the reablement literature – which we assume to also suggest a reduction in the need for respite or day care facilities. </w:t>
            </w:r>
          </w:p>
        </w:tc>
        <w:tc>
          <w:tcPr>
            <w:tcW w:w="992" w:type="dxa"/>
          </w:tcPr>
          <w:p w14:paraId="1A31AC6B"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£4,472</w:t>
            </w:r>
          </w:p>
        </w:tc>
        <w:tc>
          <w:tcPr>
            <w:tcW w:w="1559" w:type="dxa"/>
          </w:tcPr>
          <w:p w14:paraId="7EB05078" w14:textId="3E00080A"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68% of 702</w:t>
            </w:r>
          </w:p>
        </w:tc>
        <w:tc>
          <w:tcPr>
            <w:tcW w:w="2140" w:type="dxa"/>
          </w:tcPr>
          <w:p w14:paraId="4D0C165C"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 xml:space="preserve">As above. </w:t>
            </w:r>
          </w:p>
        </w:tc>
        <w:tc>
          <w:tcPr>
            <w:tcW w:w="1687" w:type="dxa"/>
          </w:tcPr>
          <w:p w14:paraId="4B4336DE"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rPr>
            </w:pPr>
            <w:r w:rsidRPr="0039062A">
              <w:rPr>
                <w:rFonts w:cstheme="minorHAnsi"/>
                <w:szCs w:val="28"/>
              </w:rPr>
              <w:t>10%</w:t>
            </w:r>
          </w:p>
          <w:p w14:paraId="75EBEA81" w14:textId="6C9CBF7B"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b/>
                <w:szCs w:val="28"/>
                <w:highlight w:val="yellow"/>
              </w:rPr>
            </w:pPr>
            <w:r w:rsidRPr="0039062A">
              <w:rPr>
                <w:rFonts w:cstheme="minorHAnsi"/>
                <w:szCs w:val="28"/>
              </w:rPr>
              <w:t>(Quartile approach)</w:t>
            </w:r>
          </w:p>
        </w:tc>
        <w:tc>
          <w:tcPr>
            <w:tcW w:w="1418" w:type="dxa"/>
          </w:tcPr>
          <w:p w14:paraId="63C2B08B" w14:textId="217DB043"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b/>
                <w:szCs w:val="28"/>
                <w:highlight w:val="yellow"/>
              </w:rPr>
            </w:pPr>
            <w:r w:rsidRPr="0039062A">
              <w:rPr>
                <w:rFonts w:cstheme="minorHAnsi"/>
                <w:b/>
                <w:szCs w:val="28"/>
              </w:rPr>
              <w:t>£213,475</w:t>
            </w:r>
          </w:p>
        </w:tc>
      </w:tr>
      <w:tr w:rsidR="002B5543" w14:paraId="6B8945D8" w14:textId="77777777" w:rsidTr="00390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Borders>
              <w:top w:val="none" w:sz="0" w:space="0" w:color="auto"/>
              <w:left w:val="none" w:sz="0" w:space="0" w:color="auto"/>
              <w:bottom w:val="none" w:sz="0" w:space="0" w:color="auto"/>
            </w:tcBorders>
          </w:tcPr>
          <w:p w14:paraId="5ACD032C" w14:textId="77777777" w:rsidR="002B5543" w:rsidRPr="006F2CF8" w:rsidRDefault="002B5543" w:rsidP="00AB248F">
            <w:pPr>
              <w:rPr>
                <w:lang w:val="en-AU"/>
              </w:rPr>
            </w:pPr>
          </w:p>
        </w:tc>
        <w:tc>
          <w:tcPr>
            <w:tcW w:w="1292" w:type="dxa"/>
            <w:tcBorders>
              <w:top w:val="none" w:sz="0" w:space="0" w:color="auto"/>
              <w:bottom w:val="none" w:sz="0" w:space="0" w:color="auto"/>
            </w:tcBorders>
          </w:tcPr>
          <w:p w14:paraId="05FFA347"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p>
        </w:tc>
        <w:tc>
          <w:tcPr>
            <w:tcW w:w="1655" w:type="dxa"/>
            <w:tcBorders>
              <w:top w:val="none" w:sz="0" w:space="0" w:color="auto"/>
              <w:bottom w:val="none" w:sz="0" w:space="0" w:color="auto"/>
            </w:tcBorders>
          </w:tcPr>
          <w:p w14:paraId="3B278AAC"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p>
        </w:tc>
        <w:tc>
          <w:tcPr>
            <w:tcW w:w="2047" w:type="dxa"/>
            <w:tcBorders>
              <w:top w:val="none" w:sz="0" w:space="0" w:color="auto"/>
              <w:bottom w:val="none" w:sz="0" w:space="0" w:color="auto"/>
            </w:tcBorders>
          </w:tcPr>
          <w:p w14:paraId="76FFC4F1"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p>
        </w:tc>
        <w:tc>
          <w:tcPr>
            <w:tcW w:w="992" w:type="dxa"/>
            <w:tcBorders>
              <w:top w:val="none" w:sz="0" w:space="0" w:color="auto"/>
              <w:bottom w:val="none" w:sz="0" w:space="0" w:color="auto"/>
            </w:tcBorders>
          </w:tcPr>
          <w:p w14:paraId="4D33574C"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p>
        </w:tc>
        <w:tc>
          <w:tcPr>
            <w:tcW w:w="1559" w:type="dxa"/>
            <w:tcBorders>
              <w:top w:val="none" w:sz="0" w:space="0" w:color="auto"/>
              <w:bottom w:val="none" w:sz="0" w:space="0" w:color="auto"/>
            </w:tcBorders>
          </w:tcPr>
          <w:p w14:paraId="45A8E14A"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p>
        </w:tc>
        <w:tc>
          <w:tcPr>
            <w:tcW w:w="3827" w:type="dxa"/>
            <w:gridSpan w:val="2"/>
            <w:tcBorders>
              <w:top w:val="none" w:sz="0" w:space="0" w:color="auto"/>
              <w:bottom w:val="none" w:sz="0" w:space="0" w:color="auto"/>
            </w:tcBorders>
          </w:tcPr>
          <w:p w14:paraId="1704DFFB" w14:textId="038ECC82"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b/>
                <w:szCs w:val="28"/>
                <w:highlight w:val="yellow"/>
                <w:lang w:eastAsia="en-GB"/>
              </w:rPr>
            </w:pPr>
            <w:r w:rsidRPr="0039062A">
              <w:rPr>
                <w:rFonts w:cstheme="minorHAnsi"/>
                <w:b/>
                <w:szCs w:val="28"/>
                <w:lang w:val="en-AU"/>
              </w:rPr>
              <w:t>F</w:t>
            </w:r>
            <w:r w:rsidR="000A6006">
              <w:rPr>
                <w:rFonts w:cstheme="minorHAnsi"/>
                <w:b/>
                <w:szCs w:val="28"/>
                <w:lang w:val="en-AU"/>
              </w:rPr>
              <w:t>unctional independence total</w:t>
            </w:r>
            <w:r w:rsidRPr="0039062A">
              <w:rPr>
                <w:rFonts w:cstheme="minorHAnsi"/>
                <w:b/>
                <w:szCs w:val="28"/>
                <w:lang w:val="en-AU"/>
              </w:rPr>
              <w:t xml:space="preserve"> [</w:t>
            </w:r>
            <w:r w:rsidRPr="0039062A">
              <w:rPr>
                <w:rStyle w:val="EndnoteReference"/>
                <w:rFonts w:asciiTheme="minorHAnsi" w:hAnsiTheme="minorHAnsi" w:cstheme="minorHAnsi"/>
                <w:szCs w:val="28"/>
              </w:rPr>
              <w:endnoteReference w:id="62"/>
            </w:r>
            <w:r w:rsidRPr="0039062A">
              <w:rPr>
                <w:rFonts w:cstheme="minorHAnsi"/>
                <w:b/>
                <w:szCs w:val="28"/>
                <w:lang w:val="en-AU"/>
              </w:rPr>
              <w:t>]</w:t>
            </w:r>
          </w:p>
        </w:tc>
        <w:tc>
          <w:tcPr>
            <w:tcW w:w="1418" w:type="dxa"/>
            <w:tcBorders>
              <w:top w:val="none" w:sz="0" w:space="0" w:color="auto"/>
              <w:bottom w:val="none" w:sz="0" w:space="0" w:color="auto"/>
              <w:right w:val="none" w:sz="0" w:space="0" w:color="auto"/>
            </w:tcBorders>
          </w:tcPr>
          <w:p w14:paraId="40753544" w14:textId="0A92D68A"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b/>
                <w:szCs w:val="28"/>
                <w:highlight w:val="yellow"/>
              </w:rPr>
            </w:pPr>
            <w:r w:rsidRPr="0039062A">
              <w:rPr>
                <w:rFonts w:cstheme="minorHAnsi"/>
                <w:b/>
                <w:szCs w:val="28"/>
                <w:lang w:eastAsia="en-GB"/>
              </w:rPr>
              <w:t>£2,860,860</w:t>
            </w:r>
          </w:p>
        </w:tc>
      </w:tr>
      <w:tr w:rsidR="002B5543" w14:paraId="78340C78" w14:textId="77777777" w:rsidTr="0039062A">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C0DEE0" w:themeFill="accent2" w:themeFillShade="E6"/>
          </w:tcPr>
          <w:p w14:paraId="0C496F00" w14:textId="31116B30" w:rsidR="002B5543" w:rsidRPr="0000386A" w:rsidRDefault="002B5543" w:rsidP="00AB248F">
            <w:pPr>
              <w:rPr>
                <w:b w:val="0"/>
                <w:highlight w:val="yellow"/>
                <w:lang w:eastAsia="en-GB"/>
              </w:rPr>
            </w:pPr>
            <w:r w:rsidRPr="00DA578B">
              <w:rPr>
                <w:lang w:val="en-AU"/>
              </w:rPr>
              <w:t xml:space="preserve">Impact Area Two: Personal safety </w:t>
            </w:r>
          </w:p>
        </w:tc>
      </w:tr>
      <w:tr w:rsidR="002B5543" w14:paraId="1E78016C" w14:textId="77777777" w:rsidTr="00390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Borders>
              <w:top w:val="none" w:sz="0" w:space="0" w:color="auto"/>
              <w:left w:val="none" w:sz="0" w:space="0" w:color="auto"/>
              <w:bottom w:val="none" w:sz="0" w:space="0" w:color="auto"/>
            </w:tcBorders>
          </w:tcPr>
          <w:p w14:paraId="7FCF3DA4" w14:textId="77777777" w:rsidR="002B5543" w:rsidRPr="0039062A" w:rsidRDefault="002B5543" w:rsidP="00AB248F">
            <w:pPr>
              <w:rPr>
                <w:rFonts w:cstheme="minorHAnsi"/>
                <w:szCs w:val="28"/>
                <w:lang w:val="en-AU"/>
              </w:rPr>
            </w:pPr>
            <w:r w:rsidRPr="0039062A">
              <w:rPr>
                <w:rFonts w:cstheme="minorHAnsi"/>
                <w:szCs w:val="28"/>
                <w:lang w:val="en-AU"/>
              </w:rPr>
              <w:t>a. Less likely to be injured from accidents in and outside the home and require ambulance</w:t>
            </w:r>
          </w:p>
        </w:tc>
        <w:tc>
          <w:tcPr>
            <w:tcW w:w="1292" w:type="dxa"/>
            <w:tcBorders>
              <w:top w:val="none" w:sz="0" w:space="0" w:color="auto"/>
              <w:bottom w:val="none" w:sz="0" w:space="0" w:color="auto"/>
            </w:tcBorders>
          </w:tcPr>
          <w:p w14:paraId="4C7CCC11"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eastAsia="en-GB"/>
              </w:rPr>
              <w:t>Reduced no. of ambulance calls/trips</w:t>
            </w:r>
          </w:p>
        </w:tc>
        <w:tc>
          <w:tcPr>
            <w:tcW w:w="1655" w:type="dxa"/>
            <w:tcBorders>
              <w:top w:val="none" w:sz="0" w:space="0" w:color="auto"/>
              <w:bottom w:val="none" w:sz="0" w:space="0" w:color="auto"/>
            </w:tcBorders>
          </w:tcPr>
          <w:p w14:paraId="6AAD7C05"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eastAsia="en-GB"/>
              </w:rPr>
            </w:pPr>
            <w:r w:rsidRPr="0039062A">
              <w:rPr>
                <w:rFonts w:cstheme="minorHAnsi"/>
                <w:szCs w:val="28"/>
                <w:lang w:eastAsia="en-GB"/>
              </w:rPr>
              <w:t>Ambulance costs</w:t>
            </w:r>
          </w:p>
          <w:p w14:paraId="1C7BAF79"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eastAsia="en-GB"/>
              </w:rPr>
            </w:pPr>
            <w:r w:rsidRPr="0039062A">
              <w:rPr>
                <w:rFonts w:cstheme="minorHAnsi"/>
                <w:szCs w:val="28"/>
                <w:lang w:eastAsia="en-GB"/>
              </w:rPr>
              <w:t>£212 per call out</w:t>
            </w:r>
          </w:p>
          <w:p w14:paraId="50077EC3"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eastAsia="en-GB"/>
              </w:rPr>
              <w:t>New Economy. 2015.</w:t>
            </w:r>
          </w:p>
        </w:tc>
        <w:tc>
          <w:tcPr>
            <w:tcW w:w="2047" w:type="dxa"/>
            <w:tcBorders>
              <w:top w:val="none" w:sz="0" w:space="0" w:color="auto"/>
              <w:bottom w:val="none" w:sz="0" w:space="0" w:color="auto"/>
            </w:tcBorders>
          </w:tcPr>
          <w:p w14:paraId="4A96D575"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No use of ambulance in year after service.</w:t>
            </w:r>
          </w:p>
          <w:p w14:paraId="1787C272" w14:textId="0A4CEDBE"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Reablement services were used as a proxy for vision rehabilitation. Studies have shown that reablement service users are 30% less likely to attend A&amp;E in the 2 years after receiving the service (compared to those receiving standard home care services). [</w:t>
            </w:r>
            <w:r w:rsidRPr="0039062A">
              <w:rPr>
                <w:rStyle w:val="EndnoteReference"/>
                <w:rFonts w:asciiTheme="minorHAnsi" w:hAnsiTheme="minorHAnsi" w:cstheme="minorHAnsi"/>
                <w:szCs w:val="28"/>
              </w:rPr>
              <w:endnoteReference w:id="63"/>
            </w:r>
            <w:r w:rsidRPr="0039062A">
              <w:rPr>
                <w:rFonts w:cstheme="minorHAnsi"/>
                <w:szCs w:val="28"/>
                <w:lang w:val="en-AU"/>
              </w:rPr>
              <w:t xml:space="preserve">]  </w:t>
            </w:r>
          </w:p>
          <w:p w14:paraId="4E3B5A31"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From the research, we deduce that improvements in functional independence lead to fewer accidents in and out of the home (including falls – the single largest reason for A&amp;E attendance) and a reduced need to access emergency services and services related to follow-up treatment of injuries sustained in accidents.</w:t>
            </w:r>
          </w:p>
        </w:tc>
        <w:tc>
          <w:tcPr>
            <w:tcW w:w="992" w:type="dxa"/>
            <w:tcBorders>
              <w:top w:val="none" w:sz="0" w:space="0" w:color="auto"/>
              <w:bottom w:val="none" w:sz="0" w:space="0" w:color="auto"/>
            </w:tcBorders>
          </w:tcPr>
          <w:p w14:paraId="55FFEE47"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eastAsia="en-GB"/>
              </w:rPr>
              <w:t>£212</w:t>
            </w:r>
          </w:p>
        </w:tc>
        <w:tc>
          <w:tcPr>
            <w:tcW w:w="1559" w:type="dxa"/>
            <w:tcBorders>
              <w:top w:val="none" w:sz="0" w:space="0" w:color="auto"/>
              <w:bottom w:val="none" w:sz="0" w:space="0" w:color="auto"/>
            </w:tcBorders>
          </w:tcPr>
          <w:p w14:paraId="566509E2" w14:textId="6BF6DD10"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67% of 702</w:t>
            </w:r>
          </w:p>
          <w:p w14:paraId="7D39191C"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p>
        </w:tc>
        <w:tc>
          <w:tcPr>
            <w:tcW w:w="2140" w:type="dxa"/>
            <w:tcBorders>
              <w:top w:val="none" w:sz="0" w:space="0" w:color="auto"/>
              <w:bottom w:val="none" w:sz="0" w:space="0" w:color="auto"/>
            </w:tcBorders>
          </w:tcPr>
          <w:p w14:paraId="12854A99"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 xml:space="preserve">In interviews, older SfS service users spoke about the importance of the equipment provided by the service to help them complete daily living tasks safely, including those that are potentially dangerous (i.e. making a cup of tea, chopping vegetables, etc.) to making them more confident completing these tasks safely. </w:t>
            </w:r>
          </w:p>
          <w:p w14:paraId="1E8B9A23"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b/>
                <w:szCs w:val="28"/>
                <w:lang w:val="en-AU"/>
              </w:rPr>
            </w:pPr>
            <w:r w:rsidRPr="0039062A">
              <w:rPr>
                <w:rFonts w:cstheme="minorHAnsi"/>
                <w:szCs w:val="28"/>
                <w:lang w:val="en-AU"/>
              </w:rPr>
              <w:t>This proportion is based on the proportion of people at SfS who received daily living aid equipment who are in the older age group (above 65).</w:t>
            </w:r>
          </w:p>
        </w:tc>
        <w:tc>
          <w:tcPr>
            <w:tcW w:w="1687" w:type="dxa"/>
            <w:tcBorders>
              <w:top w:val="none" w:sz="0" w:space="0" w:color="auto"/>
              <w:bottom w:val="none" w:sz="0" w:space="0" w:color="auto"/>
            </w:tcBorders>
          </w:tcPr>
          <w:p w14:paraId="4254F82C"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rPr>
            </w:pPr>
            <w:r w:rsidRPr="0039062A">
              <w:rPr>
                <w:rFonts w:cstheme="minorHAnsi"/>
                <w:szCs w:val="28"/>
              </w:rPr>
              <w:t>10%</w:t>
            </w:r>
          </w:p>
          <w:p w14:paraId="40C54592" w14:textId="50C18DA5"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b/>
                <w:szCs w:val="28"/>
                <w:highlight w:val="yellow"/>
              </w:rPr>
            </w:pPr>
            <w:r w:rsidRPr="0039062A">
              <w:rPr>
                <w:rFonts w:cstheme="minorHAnsi"/>
                <w:szCs w:val="28"/>
              </w:rPr>
              <w:t>(Quartile approach)</w:t>
            </w:r>
          </w:p>
        </w:tc>
        <w:tc>
          <w:tcPr>
            <w:tcW w:w="1418" w:type="dxa"/>
            <w:tcBorders>
              <w:top w:val="none" w:sz="0" w:space="0" w:color="auto"/>
              <w:bottom w:val="none" w:sz="0" w:space="0" w:color="auto"/>
              <w:right w:val="none" w:sz="0" w:space="0" w:color="auto"/>
            </w:tcBorders>
          </w:tcPr>
          <w:p w14:paraId="6CA50049" w14:textId="73149A24"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b/>
                <w:szCs w:val="28"/>
              </w:rPr>
            </w:pPr>
            <w:r w:rsidRPr="0039062A">
              <w:rPr>
                <w:rFonts w:cstheme="minorHAnsi"/>
                <w:b/>
                <w:szCs w:val="28"/>
              </w:rPr>
              <w:t>£9,971</w:t>
            </w:r>
          </w:p>
          <w:p w14:paraId="1108ECFB"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b/>
                <w:szCs w:val="28"/>
                <w:highlight w:val="yellow"/>
                <w:lang w:eastAsia="en-GB"/>
              </w:rPr>
            </w:pPr>
          </w:p>
        </w:tc>
      </w:tr>
      <w:tr w:rsidR="002B5543" w14:paraId="41AB2854" w14:textId="77777777" w:rsidTr="0039062A">
        <w:tc>
          <w:tcPr>
            <w:cnfStyle w:val="001000000000" w:firstRow="0" w:lastRow="0" w:firstColumn="1" w:lastColumn="0" w:oddVBand="0" w:evenVBand="0" w:oddHBand="0" w:evenHBand="0" w:firstRowFirstColumn="0" w:firstRowLastColumn="0" w:lastRowFirstColumn="0" w:lastRowLastColumn="0"/>
            <w:tcW w:w="1659" w:type="dxa"/>
          </w:tcPr>
          <w:p w14:paraId="7CDB5476" w14:textId="77777777" w:rsidR="002B5543" w:rsidRPr="0039062A" w:rsidRDefault="002B5543" w:rsidP="00AB248F">
            <w:pPr>
              <w:rPr>
                <w:rFonts w:cstheme="minorHAnsi"/>
                <w:b w:val="0"/>
                <w:szCs w:val="28"/>
                <w:lang w:val="en-AU"/>
              </w:rPr>
            </w:pPr>
            <w:r w:rsidRPr="0039062A">
              <w:rPr>
                <w:rFonts w:cstheme="minorHAnsi"/>
                <w:szCs w:val="28"/>
                <w:lang w:val="en-AU"/>
              </w:rPr>
              <w:t>b. Less likely to be injured from accidents in and outside the home and require A &amp; E visit</w:t>
            </w:r>
          </w:p>
        </w:tc>
        <w:tc>
          <w:tcPr>
            <w:tcW w:w="1292" w:type="dxa"/>
          </w:tcPr>
          <w:p w14:paraId="054436F8"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eastAsia="en-GB"/>
              </w:rPr>
            </w:pPr>
            <w:r w:rsidRPr="0039062A">
              <w:rPr>
                <w:rFonts w:cstheme="minorHAnsi"/>
                <w:szCs w:val="28"/>
                <w:lang w:eastAsia="en-GB"/>
              </w:rPr>
              <w:t>Reduced no. of emergency visits to A&amp;E</w:t>
            </w:r>
          </w:p>
        </w:tc>
        <w:tc>
          <w:tcPr>
            <w:tcW w:w="1655" w:type="dxa"/>
          </w:tcPr>
          <w:p w14:paraId="24FD8490"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eastAsia="en-GB"/>
              </w:rPr>
            </w:pPr>
            <w:r w:rsidRPr="0039062A">
              <w:rPr>
                <w:rFonts w:cstheme="minorHAnsi"/>
                <w:szCs w:val="28"/>
                <w:lang w:eastAsia="en-GB"/>
              </w:rPr>
              <w:t>A&amp;E visit costs</w:t>
            </w:r>
          </w:p>
          <w:p w14:paraId="2CD35231"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eastAsia="en-GB"/>
              </w:rPr>
            </w:pPr>
            <w:r w:rsidRPr="0039062A">
              <w:rPr>
                <w:rFonts w:cstheme="minorHAnsi"/>
                <w:szCs w:val="28"/>
                <w:lang w:eastAsia="en-GB"/>
              </w:rPr>
              <w:t>£143 per visit</w:t>
            </w:r>
          </w:p>
          <w:p w14:paraId="4204FF63"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eastAsia="en-GB"/>
              </w:rPr>
            </w:pPr>
            <w:r w:rsidRPr="0039062A">
              <w:rPr>
                <w:rFonts w:cstheme="minorHAnsi"/>
                <w:szCs w:val="28"/>
                <w:lang w:eastAsia="en-GB"/>
              </w:rPr>
              <w:t xml:space="preserve">New Economy. 2015. </w:t>
            </w:r>
          </w:p>
        </w:tc>
        <w:tc>
          <w:tcPr>
            <w:tcW w:w="2047" w:type="dxa"/>
          </w:tcPr>
          <w:p w14:paraId="54C64DC8"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 xml:space="preserve">No visit to A&amp; E in year following service. </w:t>
            </w:r>
          </w:p>
          <w:p w14:paraId="56A2E32C"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 xml:space="preserve">Evidence as above. </w:t>
            </w:r>
          </w:p>
        </w:tc>
        <w:tc>
          <w:tcPr>
            <w:tcW w:w="992" w:type="dxa"/>
          </w:tcPr>
          <w:p w14:paraId="41F1EFF1"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eastAsia="en-GB"/>
              </w:rPr>
            </w:pPr>
            <w:r w:rsidRPr="0039062A">
              <w:rPr>
                <w:rFonts w:cstheme="minorHAnsi"/>
                <w:szCs w:val="28"/>
                <w:lang w:eastAsia="en-GB"/>
              </w:rPr>
              <w:t>£143</w:t>
            </w:r>
          </w:p>
        </w:tc>
        <w:tc>
          <w:tcPr>
            <w:tcW w:w="1559" w:type="dxa"/>
          </w:tcPr>
          <w:p w14:paraId="798ECC09" w14:textId="4E17D7E8"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67% of 702</w:t>
            </w:r>
          </w:p>
          <w:p w14:paraId="76366D27"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p>
        </w:tc>
        <w:tc>
          <w:tcPr>
            <w:tcW w:w="2140" w:type="dxa"/>
          </w:tcPr>
          <w:p w14:paraId="210662FC"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b/>
                <w:szCs w:val="28"/>
                <w:lang w:val="en-AU"/>
              </w:rPr>
            </w:pPr>
            <w:r w:rsidRPr="0039062A">
              <w:rPr>
                <w:rFonts w:cstheme="minorHAnsi"/>
                <w:szCs w:val="28"/>
                <w:lang w:val="en-AU"/>
              </w:rPr>
              <w:t>As above.</w:t>
            </w:r>
          </w:p>
        </w:tc>
        <w:tc>
          <w:tcPr>
            <w:tcW w:w="1687" w:type="dxa"/>
          </w:tcPr>
          <w:p w14:paraId="76834F0B"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rPr>
            </w:pPr>
            <w:r w:rsidRPr="0039062A">
              <w:rPr>
                <w:rFonts w:cstheme="minorHAnsi"/>
                <w:szCs w:val="28"/>
              </w:rPr>
              <w:t>10%</w:t>
            </w:r>
          </w:p>
          <w:p w14:paraId="17229516" w14:textId="267C4412"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b/>
                <w:szCs w:val="28"/>
                <w:highlight w:val="yellow"/>
              </w:rPr>
            </w:pPr>
            <w:r w:rsidRPr="0039062A">
              <w:rPr>
                <w:rFonts w:cstheme="minorHAnsi"/>
                <w:szCs w:val="28"/>
              </w:rPr>
              <w:t>(Quartile approach)</w:t>
            </w:r>
          </w:p>
        </w:tc>
        <w:tc>
          <w:tcPr>
            <w:tcW w:w="1418" w:type="dxa"/>
          </w:tcPr>
          <w:p w14:paraId="0D103418" w14:textId="1827671A"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b/>
                <w:szCs w:val="28"/>
                <w:highlight w:val="yellow"/>
              </w:rPr>
            </w:pPr>
            <w:r w:rsidRPr="0039062A">
              <w:rPr>
                <w:rFonts w:cstheme="minorHAnsi"/>
                <w:b/>
                <w:szCs w:val="28"/>
              </w:rPr>
              <w:t>£6,726</w:t>
            </w:r>
          </w:p>
        </w:tc>
      </w:tr>
      <w:tr w:rsidR="002B5543" w14:paraId="22EC095E" w14:textId="77777777" w:rsidTr="00390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Borders>
              <w:top w:val="none" w:sz="0" w:space="0" w:color="auto"/>
              <w:left w:val="none" w:sz="0" w:space="0" w:color="auto"/>
              <w:bottom w:val="none" w:sz="0" w:space="0" w:color="auto"/>
            </w:tcBorders>
          </w:tcPr>
          <w:p w14:paraId="5E36ED6A" w14:textId="77777777" w:rsidR="002B5543" w:rsidRPr="0039062A" w:rsidRDefault="002B5543" w:rsidP="00AB248F">
            <w:pPr>
              <w:rPr>
                <w:rFonts w:cstheme="minorHAnsi"/>
                <w:b w:val="0"/>
                <w:szCs w:val="28"/>
                <w:lang w:val="en-AU"/>
              </w:rPr>
            </w:pPr>
            <w:r w:rsidRPr="0039062A">
              <w:rPr>
                <w:rFonts w:cstheme="minorHAnsi"/>
                <w:szCs w:val="28"/>
                <w:lang w:val="en-AU"/>
              </w:rPr>
              <w:t>c. Less likely to be injured from accidents in and outside the home and require hospital admission</w:t>
            </w:r>
          </w:p>
        </w:tc>
        <w:tc>
          <w:tcPr>
            <w:tcW w:w="1292" w:type="dxa"/>
            <w:tcBorders>
              <w:top w:val="none" w:sz="0" w:space="0" w:color="auto"/>
              <w:bottom w:val="none" w:sz="0" w:space="0" w:color="auto"/>
            </w:tcBorders>
          </w:tcPr>
          <w:p w14:paraId="7C3EDF9C"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eastAsia="en-GB"/>
              </w:rPr>
            </w:pPr>
            <w:r w:rsidRPr="0039062A">
              <w:rPr>
                <w:rFonts w:cstheme="minorHAnsi"/>
                <w:szCs w:val="28"/>
                <w:lang w:eastAsia="en-GB"/>
              </w:rPr>
              <w:t>Reduced no. of hospital admissions</w:t>
            </w:r>
          </w:p>
          <w:p w14:paraId="1315574A"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eastAsia="en-GB"/>
              </w:rPr>
            </w:pPr>
          </w:p>
        </w:tc>
        <w:tc>
          <w:tcPr>
            <w:tcW w:w="1655" w:type="dxa"/>
            <w:tcBorders>
              <w:top w:val="none" w:sz="0" w:space="0" w:color="auto"/>
              <w:bottom w:val="none" w:sz="0" w:space="0" w:color="auto"/>
            </w:tcBorders>
          </w:tcPr>
          <w:p w14:paraId="34C26FD9"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eastAsia="en-GB"/>
              </w:rPr>
            </w:pPr>
            <w:r w:rsidRPr="0039062A">
              <w:rPr>
                <w:rFonts w:cstheme="minorHAnsi"/>
                <w:szCs w:val="28"/>
                <w:lang w:eastAsia="en-GB"/>
              </w:rPr>
              <w:t>Cost of a hospital admissions (non- elective)</w:t>
            </w:r>
          </w:p>
          <w:p w14:paraId="2249B9FD"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eastAsia="en-GB"/>
              </w:rPr>
            </w:pPr>
            <w:r w:rsidRPr="0039062A">
              <w:rPr>
                <w:rFonts w:cstheme="minorHAnsi"/>
                <w:szCs w:val="28"/>
                <w:lang w:eastAsia="en-GB"/>
              </w:rPr>
              <w:t>£2,825 per admission</w:t>
            </w:r>
          </w:p>
          <w:p w14:paraId="0170F6CE"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eastAsia="en-GB"/>
              </w:rPr>
            </w:pPr>
            <w:r w:rsidRPr="0039062A">
              <w:rPr>
                <w:rFonts w:cstheme="minorHAnsi"/>
                <w:szCs w:val="28"/>
                <w:lang w:eastAsia="en-GB"/>
              </w:rPr>
              <w:t>New Economy. 2015.</w:t>
            </w:r>
          </w:p>
        </w:tc>
        <w:tc>
          <w:tcPr>
            <w:tcW w:w="2047" w:type="dxa"/>
            <w:tcBorders>
              <w:top w:val="none" w:sz="0" w:space="0" w:color="auto"/>
              <w:bottom w:val="none" w:sz="0" w:space="0" w:color="auto"/>
            </w:tcBorders>
          </w:tcPr>
          <w:p w14:paraId="65B8F2C8"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No hospital (non-elective) admission in the year following service</w:t>
            </w:r>
          </w:p>
          <w:p w14:paraId="0346DA79"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 xml:space="preserve">Lewin and Vandermeulen also found that reablement clients were 31 per cent less likely than the comparison group to have an unplanned hospital admission in that same period.    </w:t>
            </w:r>
          </w:p>
        </w:tc>
        <w:tc>
          <w:tcPr>
            <w:tcW w:w="992" w:type="dxa"/>
            <w:tcBorders>
              <w:top w:val="none" w:sz="0" w:space="0" w:color="auto"/>
              <w:bottom w:val="none" w:sz="0" w:space="0" w:color="auto"/>
            </w:tcBorders>
          </w:tcPr>
          <w:p w14:paraId="5037FD8B"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eastAsia="en-GB"/>
              </w:rPr>
            </w:pPr>
            <w:r w:rsidRPr="0039062A">
              <w:rPr>
                <w:rFonts w:cstheme="minorHAnsi"/>
                <w:szCs w:val="28"/>
                <w:lang w:eastAsia="en-GB"/>
              </w:rPr>
              <w:t xml:space="preserve">£2,825 </w:t>
            </w:r>
          </w:p>
        </w:tc>
        <w:tc>
          <w:tcPr>
            <w:tcW w:w="1559" w:type="dxa"/>
            <w:tcBorders>
              <w:top w:val="none" w:sz="0" w:space="0" w:color="auto"/>
              <w:bottom w:val="none" w:sz="0" w:space="0" w:color="auto"/>
            </w:tcBorders>
          </w:tcPr>
          <w:p w14:paraId="0F069013" w14:textId="62D9CAF0"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67% of 702</w:t>
            </w:r>
          </w:p>
        </w:tc>
        <w:tc>
          <w:tcPr>
            <w:tcW w:w="2140" w:type="dxa"/>
            <w:tcBorders>
              <w:top w:val="none" w:sz="0" w:space="0" w:color="auto"/>
              <w:bottom w:val="none" w:sz="0" w:space="0" w:color="auto"/>
            </w:tcBorders>
          </w:tcPr>
          <w:p w14:paraId="09D1D377"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As above.</w:t>
            </w:r>
          </w:p>
          <w:p w14:paraId="51AA364D" w14:textId="1D93A0BE"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In 2002, 2.7 million people attended an A&amp;E department in the UK following a home accident. Over-65s accounted for 19% of the total number of A&amp;E home accident attendances [</w:t>
            </w:r>
            <w:r w:rsidRPr="0039062A">
              <w:rPr>
                <w:rStyle w:val="EndnoteReference"/>
                <w:rFonts w:asciiTheme="minorHAnsi" w:hAnsiTheme="minorHAnsi" w:cstheme="minorHAnsi"/>
                <w:szCs w:val="28"/>
              </w:rPr>
              <w:endnoteReference w:id="64"/>
            </w:r>
            <w:r w:rsidRPr="0039062A">
              <w:rPr>
                <w:rFonts w:cstheme="minorHAnsi"/>
                <w:szCs w:val="28"/>
                <w:lang w:val="en-AU"/>
              </w:rPr>
              <w:t xml:space="preserve">]. </w:t>
            </w:r>
          </w:p>
        </w:tc>
        <w:tc>
          <w:tcPr>
            <w:tcW w:w="1687" w:type="dxa"/>
            <w:tcBorders>
              <w:top w:val="none" w:sz="0" w:space="0" w:color="auto"/>
              <w:bottom w:val="none" w:sz="0" w:space="0" w:color="auto"/>
            </w:tcBorders>
          </w:tcPr>
          <w:p w14:paraId="0F627751"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rPr>
            </w:pPr>
            <w:r w:rsidRPr="0039062A">
              <w:rPr>
                <w:rFonts w:cstheme="minorHAnsi"/>
                <w:szCs w:val="28"/>
              </w:rPr>
              <w:t>10%</w:t>
            </w:r>
          </w:p>
          <w:p w14:paraId="2FE74B20" w14:textId="4F880C95"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b/>
                <w:szCs w:val="28"/>
                <w:highlight w:val="yellow"/>
              </w:rPr>
            </w:pPr>
            <w:r w:rsidRPr="0039062A">
              <w:rPr>
                <w:rFonts w:cstheme="minorHAnsi"/>
                <w:szCs w:val="28"/>
              </w:rPr>
              <w:t>(Quartile approach)</w:t>
            </w:r>
          </w:p>
        </w:tc>
        <w:tc>
          <w:tcPr>
            <w:tcW w:w="1418" w:type="dxa"/>
            <w:tcBorders>
              <w:top w:val="none" w:sz="0" w:space="0" w:color="auto"/>
              <w:bottom w:val="none" w:sz="0" w:space="0" w:color="auto"/>
              <w:right w:val="none" w:sz="0" w:space="0" w:color="auto"/>
            </w:tcBorders>
          </w:tcPr>
          <w:p w14:paraId="09F1F90C" w14:textId="4F90CC62"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b/>
                <w:szCs w:val="28"/>
                <w:highlight w:val="yellow"/>
              </w:rPr>
            </w:pPr>
            <w:r w:rsidRPr="0039062A">
              <w:rPr>
                <w:rFonts w:cstheme="minorHAnsi"/>
                <w:b/>
                <w:szCs w:val="28"/>
              </w:rPr>
              <w:t>£132,871</w:t>
            </w:r>
          </w:p>
        </w:tc>
      </w:tr>
      <w:tr w:rsidR="002B5543" w14:paraId="0883A371" w14:textId="77777777" w:rsidTr="0039062A">
        <w:tc>
          <w:tcPr>
            <w:cnfStyle w:val="001000000000" w:firstRow="0" w:lastRow="0" w:firstColumn="1" w:lastColumn="0" w:oddVBand="0" w:evenVBand="0" w:oddHBand="0" w:evenHBand="0" w:firstRowFirstColumn="0" w:firstRowLastColumn="0" w:lastRowFirstColumn="0" w:lastRowLastColumn="0"/>
            <w:tcW w:w="1659" w:type="dxa"/>
          </w:tcPr>
          <w:p w14:paraId="543023FA" w14:textId="77777777" w:rsidR="002B5543" w:rsidRPr="0039062A" w:rsidRDefault="002B5543" w:rsidP="00AB248F">
            <w:pPr>
              <w:rPr>
                <w:rFonts w:cstheme="minorHAnsi"/>
                <w:b w:val="0"/>
                <w:szCs w:val="28"/>
                <w:lang w:val="en-AU"/>
              </w:rPr>
            </w:pPr>
            <w:r w:rsidRPr="0039062A">
              <w:rPr>
                <w:rFonts w:cstheme="minorHAnsi"/>
                <w:szCs w:val="28"/>
                <w:lang w:val="en-AU"/>
              </w:rPr>
              <w:t>d. Less likely to be injured from accidents in and outside the home and require follow-up care for injury i.e. by GP</w:t>
            </w:r>
          </w:p>
        </w:tc>
        <w:tc>
          <w:tcPr>
            <w:tcW w:w="1292" w:type="dxa"/>
          </w:tcPr>
          <w:p w14:paraId="55E11CF0"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eastAsia="en-GB"/>
              </w:rPr>
            </w:pPr>
            <w:r w:rsidRPr="0039062A">
              <w:rPr>
                <w:rFonts w:cstheme="minorHAnsi"/>
                <w:szCs w:val="28"/>
                <w:lang w:eastAsia="en-GB"/>
              </w:rPr>
              <w:t>Reduced no. of appointments for treatment of injuries</w:t>
            </w:r>
          </w:p>
        </w:tc>
        <w:tc>
          <w:tcPr>
            <w:tcW w:w="1655" w:type="dxa"/>
          </w:tcPr>
          <w:p w14:paraId="38200B57"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eastAsia="en-GB"/>
              </w:rPr>
            </w:pPr>
            <w:r w:rsidRPr="0039062A">
              <w:rPr>
                <w:rFonts w:cstheme="minorHAnsi"/>
                <w:szCs w:val="28"/>
                <w:lang w:eastAsia="en-GB"/>
              </w:rPr>
              <w:t>Cost of GP appointment</w:t>
            </w:r>
          </w:p>
          <w:p w14:paraId="405FCE84"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eastAsia="en-GB"/>
              </w:rPr>
            </w:pPr>
            <w:r w:rsidRPr="0039062A">
              <w:rPr>
                <w:rFonts w:cstheme="minorHAnsi"/>
                <w:szCs w:val="28"/>
                <w:lang w:eastAsia="en-GB"/>
              </w:rPr>
              <w:t>£39 per visit</w:t>
            </w:r>
          </w:p>
          <w:p w14:paraId="3682637D"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eastAsia="en-GB"/>
              </w:rPr>
            </w:pPr>
            <w:r w:rsidRPr="0039062A">
              <w:rPr>
                <w:rFonts w:cstheme="minorHAnsi"/>
                <w:szCs w:val="28"/>
                <w:lang w:eastAsia="en-GB"/>
              </w:rPr>
              <w:t xml:space="preserve">New Economy. 2015. </w:t>
            </w:r>
          </w:p>
        </w:tc>
        <w:tc>
          <w:tcPr>
            <w:tcW w:w="2047" w:type="dxa"/>
          </w:tcPr>
          <w:p w14:paraId="432F7B77"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Two fewer GP visits per year for injuries sustained in the home.</w:t>
            </w:r>
          </w:p>
          <w:p w14:paraId="0FA061E5"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 xml:space="preserve">Evidence as above. </w:t>
            </w:r>
          </w:p>
        </w:tc>
        <w:tc>
          <w:tcPr>
            <w:tcW w:w="992" w:type="dxa"/>
          </w:tcPr>
          <w:p w14:paraId="16D8439E"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eastAsia="en-GB"/>
              </w:rPr>
            </w:pPr>
            <w:r w:rsidRPr="0039062A">
              <w:rPr>
                <w:rFonts w:cstheme="minorHAnsi"/>
                <w:szCs w:val="28"/>
                <w:lang w:eastAsia="en-GB"/>
              </w:rPr>
              <w:t>£78</w:t>
            </w:r>
          </w:p>
        </w:tc>
        <w:tc>
          <w:tcPr>
            <w:tcW w:w="1559" w:type="dxa"/>
          </w:tcPr>
          <w:p w14:paraId="01A6CB6F" w14:textId="7E23D369"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67% of 702</w:t>
            </w:r>
          </w:p>
        </w:tc>
        <w:tc>
          <w:tcPr>
            <w:tcW w:w="2140" w:type="dxa"/>
          </w:tcPr>
          <w:p w14:paraId="76D71C4A"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 xml:space="preserve">As above. </w:t>
            </w:r>
          </w:p>
        </w:tc>
        <w:tc>
          <w:tcPr>
            <w:tcW w:w="1687" w:type="dxa"/>
          </w:tcPr>
          <w:p w14:paraId="2E0BE950"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rPr>
            </w:pPr>
            <w:r w:rsidRPr="0039062A">
              <w:rPr>
                <w:rFonts w:cstheme="minorHAnsi"/>
                <w:szCs w:val="28"/>
              </w:rPr>
              <w:t>10%</w:t>
            </w:r>
          </w:p>
          <w:p w14:paraId="60DC5379" w14:textId="1A0276A9"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b/>
                <w:szCs w:val="28"/>
                <w:highlight w:val="yellow"/>
              </w:rPr>
            </w:pPr>
            <w:r w:rsidRPr="0039062A">
              <w:rPr>
                <w:rFonts w:cstheme="minorHAnsi"/>
                <w:szCs w:val="28"/>
              </w:rPr>
              <w:t>(Quartile approach)</w:t>
            </w:r>
          </w:p>
        </w:tc>
        <w:tc>
          <w:tcPr>
            <w:tcW w:w="1418" w:type="dxa"/>
          </w:tcPr>
          <w:p w14:paraId="35654137" w14:textId="3506F42C"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b/>
                <w:szCs w:val="28"/>
                <w:highlight w:val="yellow"/>
              </w:rPr>
            </w:pPr>
            <w:r w:rsidRPr="0039062A">
              <w:rPr>
                <w:rFonts w:cstheme="minorHAnsi"/>
                <w:b/>
                <w:szCs w:val="28"/>
              </w:rPr>
              <w:t>£3,669</w:t>
            </w:r>
          </w:p>
        </w:tc>
      </w:tr>
      <w:tr w:rsidR="002B5543" w14:paraId="2F1F00EC" w14:textId="77777777" w:rsidTr="00390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Borders>
              <w:top w:val="none" w:sz="0" w:space="0" w:color="auto"/>
              <w:left w:val="none" w:sz="0" w:space="0" w:color="auto"/>
              <w:bottom w:val="none" w:sz="0" w:space="0" w:color="auto"/>
            </w:tcBorders>
          </w:tcPr>
          <w:p w14:paraId="3D21CBF7" w14:textId="77777777" w:rsidR="002B5543" w:rsidRPr="00C7222E" w:rsidRDefault="002B5543" w:rsidP="00AB248F">
            <w:pPr>
              <w:rPr>
                <w:lang w:val="en-AU"/>
              </w:rPr>
            </w:pPr>
          </w:p>
        </w:tc>
        <w:tc>
          <w:tcPr>
            <w:tcW w:w="1292" w:type="dxa"/>
            <w:tcBorders>
              <w:top w:val="none" w:sz="0" w:space="0" w:color="auto"/>
              <w:bottom w:val="none" w:sz="0" w:space="0" w:color="auto"/>
            </w:tcBorders>
          </w:tcPr>
          <w:p w14:paraId="549A991F" w14:textId="77777777" w:rsidR="002B5543" w:rsidRPr="00C7222E" w:rsidRDefault="002B5543" w:rsidP="00AB248F">
            <w:pPr>
              <w:cnfStyle w:val="000000100000" w:firstRow="0" w:lastRow="0" w:firstColumn="0" w:lastColumn="0" w:oddVBand="0" w:evenVBand="0" w:oddHBand="1" w:evenHBand="0" w:firstRowFirstColumn="0" w:firstRowLastColumn="0" w:lastRowFirstColumn="0" w:lastRowLastColumn="0"/>
              <w:rPr>
                <w:lang w:eastAsia="en-GB"/>
              </w:rPr>
            </w:pPr>
          </w:p>
        </w:tc>
        <w:tc>
          <w:tcPr>
            <w:tcW w:w="1655" w:type="dxa"/>
            <w:tcBorders>
              <w:top w:val="none" w:sz="0" w:space="0" w:color="auto"/>
              <w:bottom w:val="none" w:sz="0" w:space="0" w:color="auto"/>
            </w:tcBorders>
          </w:tcPr>
          <w:p w14:paraId="49F124A9" w14:textId="77777777" w:rsidR="002B5543" w:rsidRDefault="002B5543" w:rsidP="00AB248F">
            <w:pPr>
              <w:cnfStyle w:val="000000100000" w:firstRow="0" w:lastRow="0" w:firstColumn="0" w:lastColumn="0" w:oddVBand="0" w:evenVBand="0" w:oddHBand="1" w:evenHBand="0" w:firstRowFirstColumn="0" w:firstRowLastColumn="0" w:lastRowFirstColumn="0" w:lastRowLastColumn="0"/>
              <w:rPr>
                <w:lang w:eastAsia="en-GB"/>
              </w:rPr>
            </w:pPr>
          </w:p>
        </w:tc>
        <w:tc>
          <w:tcPr>
            <w:tcW w:w="2047" w:type="dxa"/>
            <w:tcBorders>
              <w:top w:val="none" w:sz="0" w:space="0" w:color="auto"/>
              <w:bottom w:val="none" w:sz="0" w:space="0" w:color="auto"/>
            </w:tcBorders>
          </w:tcPr>
          <w:p w14:paraId="43183E89" w14:textId="77777777" w:rsidR="002B5543" w:rsidRPr="00C7222E" w:rsidRDefault="002B5543" w:rsidP="00AB248F">
            <w:pPr>
              <w:cnfStyle w:val="000000100000" w:firstRow="0" w:lastRow="0" w:firstColumn="0" w:lastColumn="0" w:oddVBand="0" w:evenVBand="0" w:oddHBand="1" w:evenHBand="0" w:firstRowFirstColumn="0" w:firstRowLastColumn="0" w:lastRowFirstColumn="0" w:lastRowLastColumn="0"/>
              <w:rPr>
                <w:lang w:val="en-AU"/>
              </w:rPr>
            </w:pPr>
          </w:p>
        </w:tc>
        <w:tc>
          <w:tcPr>
            <w:tcW w:w="992" w:type="dxa"/>
            <w:tcBorders>
              <w:top w:val="none" w:sz="0" w:space="0" w:color="auto"/>
              <w:bottom w:val="none" w:sz="0" w:space="0" w:color="auto"/>
            </w:tcBorders>
          </w:tcPr>
          <w:p w14:paraId="1423F121" w14:textId="77777777" w:rsidR="002B5543" w:rsidRDefault="002B5543" w:rsidP="00AB248F">
            <w:pPr>
              <w:cnfStyle w:val="000000100000" w:firstRow="0" w:lastRow="0" w:firstColumn="0" w:lastColumn="0" w:oddVBand="0" w:evenVBand="0" w:oddHBand="1" w:evenHBand="0" w:firstRowFirstColumn="0" w:firstRowLastColumn="0" w:lastRowFirstColumn="0" w:lastRowLastColumn="0"/>
              <w:rPr>
                <w:lang w:eastAsia="en-GB"/>
              </w:rPr>
            </w:pPr>
          </w:p>
        </w:tc>
        <w:tc>
          <w:tcPr>
            <w:tcW w:w="1559" w:type="dxa"/>
            <w:tcBorders>
              <w:top w:val="none" w:sz="0" w:space="0" w:color="auto"/>
              <w:bottom w:val="none" w:sz="0" w:space="0" w:color="auto"/>
            </w:tcBorders>
          </w:tcPr>
          <w:p w14:paraId="41E62CEB" w14:textId="77777777" w:rsidR="002B5543" w:rsidRDefault="002B5543" w:rsidP="00AB248F">
            <w:pPr>
              <w:cnfStyle w:val="000000100000" w:firstRow="0" w:lastRow="0" w:firstColumn="0" w:lastColumn="0" w:oddVBand="0" w:evenVBand="0" w:oddHBand="1" w:evenHBand="0" w:firstRowFirstColumn="0" w:firstRowLastColumn="0" w:lastRowFirstColumn="0" w:lastRowLastColumn="0"/>
              <w:rPr>
                <w:lang w:val="en-AU"/>
              </w:rPr>
            </w:pPr>
          </w:p>
        </w:tc>
        <w:tc>
          <w:tcPr>
            <w:tcW w:w="3827" w:type="dxa"/>
            <w:gridSpan w:val="2"/>
            <w:tcBorders>
              <w:top w:val="none" w:sz="0" w:space="0" w:color="auto"/>
              <w:bottom w:val="none" w:sz="0" w:space="0" w:color="auto"/>
            </w:tcBorders>
          </w:tcPr>
          <w:p w14:paraId="343D2366" w14:textId="2BC2D17F" w:rsidR="002B5543" w:rsidRPr="0000386A" w:rsidRDefault="002B5543" w:rsidP="00AB248F">
            <w:pPr>
              <w:cnfStyle w:val="000000100000" w:firstRow="0" w:lastRow="0" w:firstColumn="0" w:lastColumn="0" w:oddVBand="0" w:evenVBand="0" w:oddHBand="1" w:evenHBand="0" w:firstRowFirstColumn="0" w:firstRowLastColumn="0" w:lastRowFirstColumn="0" w:lastRowLastColumn="0"/>
              <w:rPr>
                <w:b/>
                <w:highlight w:val="yellow"/>
              </w:rPr>
            </w:pPr>
            <w:r>
              <w:rPr>
                <w:b/>
                <w:lang w:val="en-AU"/>
              </w:rPr>
              <w:t>P</w:t>
            </w:r>
            <w:r w:rsidR="00A83202">
              <w:rPr>
                <w:b/>
                <w:lang w:val="en-AU"/>
              </w:rPr>
              <w:t>ersonal safety total</w:t>
            </w:r>
          </w:p>
        </w:tc>
        <w:tc>
          <w:tcPr>
            <w:tcW w:w="1418" w:type="dxa"/>
            <w:tcBorders>
              <w:top w:val="none" w:sz="0" w:space="0" w:color="auto"/>
              <w:bottom w:val="none" w:sz="0" w:space="0" w:color="auto"/>
              <w:right w:val="none" w:sz="0" w:space="0" w:color="auto"/>
            </w:tcBorders>
          </w:tcPr>
          <w:p w14:paraId="20426B67" w14:textId="546ABAB2" w:rsidR="002B5543" w:rsidRPr="0000386A" w:rsidRDefault="002B5543" w:rsidP="00AB248F">
            <w:pPr>
              <w:cnfStyle w:val="000000100000" w:firstRow="0" w:lastRow="0" w:firstColumn="0" w:lastColumn="0" w:oddVBand="0" w:evenVBand="0" w:oddHBand="1" w:evenHBand="0" w:firstRowFirstColumn="0" w:firstRowLastColumn="0" w:lastRowFirstColumn="0" w:lastRowLastColumn="0"/>
              <w:rPr>
                <w:b/>
                <w:highlight w:val="yellow"/>
              </w:rPr>
            </w:pPr>
            <w:r w:rsidRPr="00DA578B">
              <w:rPr>
                <w:b/>
              </w:rPr>
              <w:t>£153,23</w:t>
            </w:r>
            <w:r>
              <w:rPr>
                <w:b/>
              </w:rPr>
              <w:t>7</w:t>
            </w:r>
          </w:p>
        </w:tc>
      </w:tr>
      <w:tr w:rsidR="002B5543" w14:paraId="02DABA1A" w14:textId="77777777" w:rsidTr="0039062A">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C0DEE0" w:themeFill="accent2" w:themeFillShade="E6"/>
          </w:tcPr>
          <w:p w14:paraId="5373218B" w14:textId="2883DCE5" w:rsidR="002B5543" w:rsidRPr="00DA578B" w:rsidRDefault="002B5543" w:rsidP="00AB248F">
            <w:r w:rsidRPr="00DA578B">
              <w:rPr>
                <w:lang w:val="en-AU"/>
              </w:rPr>
              <w:t xml:space="preserve">Impact Area Three: Emotional wellbeing </w:t>
            </w:r>
          </w:p>
        </w:tc>
      </w:tr>
      <w:tr w:rsidR="002B5543" w:rsidRPr="00704563" w14:paraId="09311F9E" w14:textId="77777777" w:rsidTr="00390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Borders>
              <w:top w:val="none" w:sz="0" w:space="0" w:color="auto"/>
              <w:left w:val="none" w:sz="0" w:space="0" w:color="auto"/>
              <w:bottom w:val="none" w:sz="0" w:space="0" w:color="auto"/>
            </w:tcBorders>
          </w:tcPr>
          <w:p w14:paraId="1C221A70" w14:textId="77777777" w:rsidR="002B5543" w:rsidRPr="0039062A" w:rsidRDefault="002B5543" w:rsidP="00AB248F">
            <w:pPr>
              <w:rPr>
                <w:rFonts w:cstheme="minorHAnsi"/>
                <w:szCs w:val="28"/>
                <w:lang w:val="en-AU"/>
              </w:rPr>
            </w:pPr>
            <w:r w:rsidRPr="0039062A">
              <w:rPr>
                <w:rFonts w:cstheme="minorHAnsi"/>
                <w:szCs w:val="28"/>
                <w:lang w:val="en-AU"/>
              </w:rPr>
              <w:t>a. Increased level of acceptance of vision impairment condition</w:t>
            </w:r>
          </w:p>
        </w:tc>
        <w:tc>
          <w:tcPr>
            <w:tcW w:w="1292" w:type="dxa"/>
            <w:tcBorders>
              <w:top w:val="none" w:sz="0" w:space="0" w:color="auto"/>
              <w:bottom w:val="none" w:sz="0" w:space="0" w:color="auto"/>
            </w:tcBorders>
          </w:tcPr>
          <w:p w14:paraId="635D0DDC"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eastAsia="en-GB"/>
              </w:rPr>
            </w:pPr>
            <w:r w:rsidRPr="0039062A">
              <w:rPr>
                <w:rFonts w:cstheme="minorHAnsi"/>
                <w:szCs w:val="28"/>
                <w:lang w:eastAsia="en-GB"/>
              </w:rPr>
              <w:t>Reduced use of mental health services/ counsellors for stress, anxiety or depression</w:t>
            </w:r>
          </w:p>
        </w:tc>
        <w:tc>
          <w:tcPr>
            <w:tcW w:w="1655" w:type="dxa"/>
            <w:tcBorders>
              <w:top w:val="none" w:sz="0" w:space="0" w:color="auto"/>
              <w:bottom w:val="none" w:sz="0" w:space="0" w:color="auto"/>
            </w:tcBorders>
          </w:tcPr>
          <w:p w14:paraId="03E9933B" w14:textId="6BC8EEEC"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eastAsia="en-GB"/>
              </w:rPr>
            </w:pPr>
            <w:r w:rsidRPr="0039062A">
              <w:rPr>
                <w:rFonts w:cstheme="minorHAnsi"/>
                <w:szCs w:val="28"/>
                <w:lang w:eastAsia="en-GB"/>
              </w:rPr>
              <w:t>Mental health service costs [</w:t>
            </w:r>
            <w:r w:rsidRPr="0039062A">
              <w:rPr>
                <w:rStyle w:val="EndnoteReference"/>
                <w:rFonts w:asciiTheme="minorHAnsi" w:hAnsiTheme="minorHAnsi" w:cstheme="minorHAnsi"/>
                <w:szCs w:val="28"/>
              </w:rPr>
              <w:endnoteReference w:id="65"/>
            </w:r>
            <w:r w:rsidRPr="0039062A">
              <w:rPr>
                <w:rFonts w:cstheme="minorHAnsi"/>
                <w:szCs w:val="28"/>
                <w:lang w:eastAsia="en-GB"/>
              </w:rPr>
              <w:t>]</w:t>
            </w:r>
          </w:p>
          <w:p w14:paraId="32C1FDE6"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eastAsia="en-GB"/>
              </w:rPr>
            </w:pPr>
            <w:r w:rsidRPr="0039062A">
              <w:rPr>
                <w:rFonts w:cstheme="minorHAnsi"/>
                <w:szCs w:val="28"/>
                <w:lang w:eastAsia="en-GB"/>
              </w:rPr>
              <w:t>£899 per year</w:t>
            </w:r>
          </w:p>
          <w:p w14:paraId="573634A0"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eastAsia="en-GB"/>
              </w:rPr>
            </w:pPr>
            <w:r w:rsidRPr="0039062A">
              <w:rPr>
                <w:rFonts w:cstheme="minorHAnsi"/>
                <w:szCs w:val="28"/>
                <w:lang w:eastAsia="en-GB"/>
              </w:rPr>
              <w:t>New Economy. 2015.</w:t>
            </w:r>
          </w:p>
        </w:tc>
        <w:tc>
          <w:tcPr>
            <w:tcW w:w="2047" w:type="dxa"/>
            <w:tcBorders>
              <w:top w:val="none" w:sz="0" w:space="0" w:color="auto"/>
              <w:bottom w:val="none" w:sz="0" w:space="0" w:color="auto"/>
            </w:tcBorders>
          </w:tcPr>
          <w:p w14:paraId="558DB052"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No use of mental health service in year following service</w:t>
            </w:r>
          </w:p>
          <w:p w14:paraId="37B21D98"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The period of one year has been chosen to reflect the findings of reablement literature that shows the effects of reablement services lasting for up to 12 months.</w:t>
            </w:r>
          </w:p>
        </w:tc>
        <w:tc>
          <w:tcPr>
            <w:tcW w:w="992" w:type="dxa"/>
            <w:tcBorders>
              <w:top w:val="none" w:sz="0" w:space="0" w:color="auto"/>
              <w:bottom w:val="none" w:sz="0" w:space="0" w:color="auto"/>
            </w:tcBorders>
          </w:tcPr>
          <w:p w14:paraId="472627F6" w14:textId="77777777" w:rsidR="002B5543" w:rsidRPr="00FE5DB2" w:rsidRDefault="002B5543" w:rsidP="00AB248F">
            <w:pPr>
              <w:cnfStyle w:val="000000100000" w:firstRow="0" w:lastRow="0" w:firstColumn="0" w:lastColumn="0" w:oddVBand="0" w:evenVBand="0" w:oddHBand="1" w:evenHBand="0" w:firstRowFirstColumn="0" w:firstRowLastColumn="0" w:lastRowFirstColumn="0" w:lastRowLastColumn="0"/>
              <w:rPr>
                <w:szCs w:val="28"/>
                <w:lang w:eastAsia="en-GB"/>
              </w:rPr>
            </w:pPr>
            <w:r w:rsidRPr="00FE5DB2">
              <w:rPr>
                <w:szCs w:val="28"/>
                <w:lang w:eastAsia="en-GB"/>
              </w:rPr>
              <w:t>£899</w:t>
            </w:r>
          </w:p>
        </w:tc>
        <w:tc>
          <w:tcPr>
            <w:tcW w:w="1559" w:type="dxa"/>
            <w:tcBorders>
              <w:top w:val="none" w:sz="0" w:space="0" w:color="auto"/>
              <w:bottom w:val="none" w:sz="0" w:space="0" w:color="auto"/>
            </w:tcBorders>
          </w:tcPr>
          <w:p w14:paraId="1DD7D6BF" w14:textId="61C6AD28" w:rsidR="002B5543" w:rsidRPr="00FE5DB2" w:rsidRDefault="002B5543" w:rsidP="00AB248F">
            <w:pPr>
              <w:cnfStyle w:val="000000100000" w:firstRow="0" w:lastRow="0" w:firstColumn="0" w:lastColumn="0" w:oddVBand="0" w:evenVBand="0" w:oddHBand="1" w:evenHBand="0" w:firstRowFirstColumn="0" w:firstRowLastColumn="0" w:lastRowFirstColumn="0" w:lastRowLastColumn="0"/>
              <w:rPr>
                <w:szCs w:val="28"/>
                <w:lang w:val="en-AU"/>
              </w:rPr>
            </w:pPr>
            <w:r w:rsidRPr="00FE5DB2">
              <w:rPr>
                <w:szCs w:val="28"/>
                <w:lang w:val="en-AU"/>
              </w:rPr>
              <w:t>47% of 702</w:t>
            </w:r>
          </w:p>
        </w:tc>
        <w:tc>
          <w:tcPr>
            <w:tcW w:w="2140" w:type="dxa"/>
            <w:tcBorders>
              <w:top w:val="none" w:sz="0" w:space="0" w:color="auto"/>
              <w:bottom w:val="none" w:sz="0" w:space="0" w:color="auto"/>
            </w:tcBorders>
          </w:tcPr>
          <w:p w14:paraId="7C5610B6" w14:textId="29B24614" w:rsidR="002B5543" w:rsidRPr="00FE5DB2" w:rsidRDefault="002B5543" w:rsidP="00AB248F">
            <w:pPr>
              <w:cnfStyle w:val="000000100000" w:firstRow="0" w:lastRow="0" w:firstColumn="0" w:lastColumn="0" w:oddVBand="0" w:evenVBand="0" w:oddHBand="1" w:evenHBand="0" w:firstRowFirstColumn="0" w:firstRowLastColumn="0" w:lastRowFirstColumn="0" w:lastRowLastColumn="0"/>
              <w:rPr>
                <w:szCs w:val="28"/>
                <w:lang w:val="en-AU"/>
              </w:rPr>
            </w:pPr>
            <w:r w:rsidRPr="00FE5DB2">
              <w:rPr>
                <w:szCs w:val="28"/>
                <w:lang w:val="en-AU"/>
              </w:rPr>
              <w:t>Glendinning et al’s reablement study [</w:t>
            </w:r>
            <w:r w:rsidRPr="00FE5DB2">
              <w:rPr>
                <w:rStyle w:val="EndnoteReference"/>
                <w:szCs w:val="28"/>
              </w:rPr>
              <w:endnoteReference w:id="66"/>
            </w:r>
            <w:r w:rsidRPr="00FE5DB2">
              <w:rPr>
                <w:szCs w:val="28"/>
                <w:lang w:val="en-AU"/>
              </w:rPr>
              <w:t>]</w:t>
            </w:r>
            <w:r w:rsidRPr="00FE5DB2">
              <w:rPr>
                <w:rStyle w:val="EndnoteReference"/>
                <w:szCs w:val="28"/>
              </w:rPr>
              <w:t xml:space="preserve"> </w:t>
            </w:r>
            <w:r w:rsidRPr="00FE5DB2">
              <w:rPr>
                <w:szCs w:val="28"/>
                <w:lang w:val="en-AU"/>
              </w:rPr>
              <w:t>showed that 47% of reablement service users rated their quality of life as good or better compared to 36% in the comparison group after receiving the service.</w:t>
            </w:r>
          </w:p>
        </w:tc>
        <w:tc>
          <w:tcPr>
            <w:tcW w:w="1687" w:type="dxa"/>
            <w:tcBorders>
              <w:top w:val="none" w:sz="0" w:space="0" w:color="auto"/>
              <w:bottom w:val="none" w:sz="0" w:space="0" w:color="auto"/>
            </w:tcBorders>
          </w:tcPr>
          <w:p w14:paraId="7642F2D7" w14:textId="77777777" w:rsidR="002B5543" w:rsidRPr="00FE5DB2" w:rsidRDefault="002B5543" w:rsidP="00AB248F">
            <w:pPr>
              <w:cnfStyle w:val="000000100000" w:firstRow="0" w:lastRow="0" w:firstColumn="0" w:lastColumn="0" w:oddVBand="0" w:evenVBand="0" w:oddHBand="1" w:evenHBand="0" w:firstRowFirstColumn="0" w:firstRowLastColumn="0" w:lastRowFirstColumn="0" w:lastRowLastColumn="0"/>
              <w:rPr>
                <w:szCs w:val="28"/>
              </w:rPr>
            </w:pPr>
            <w:r w:rsidRPr="00FE5DB2">
              <w:rPr>
                <w:szCs w:val="28"/>
              </w:rPr>
              <w:t>10%</w:t>
            </w:r>
          </w:p>
          <w:p w14:paraId="7AA6ED2E" w14:textId="016B2B87" w:rsidR="002B5543" w:rsidRPr="0000386A" w:rsidRDefault="002B5543" w:rsidP="00AB248F">
            <w:pPr>
              <w:cnfStyle w:val="000000100000" w:firstRow="0" w:lastRow="0" w:firstColumn="0" w:lastColumn="0" w:oddVBand="0" w:evenVBand="0" w:oddHBand="1" w:evenHBand="0" w:firstRowFirstColumn="0" w:firstRowLastColumn="0" w:lastRowFirstColumn="0" w:lastRowLastColumn="0"/>
              <w:rPr>
                <w:b/>
                <w:szCs w:val="20"/>
                <w:highlight w:val="yellow"/>
              </w:rPr>
            </w:pPr>
            <w:r w:rsidRPr="00FE5DB2">
              <w:rPr>
                <w:szCs w:val="28"/>
              </w:rPr>
              <w:t>(Quartile approach)</w:t>
            </w:r>
          </w:p>
        </w:tc>
        <w:tc>
          <w:tcPr>
            <w:tcW w:w="1418" w:type="dxa"/>
            <w:tcBorders>
              <w:top w:val="none" w:sz="0" w:space="0" w:color="auto"/>
              <w:bottom w:val="none" w:sz="0" w:space="0" w:color="auto"/>
              <w:right w:val="none" w:sz="0" w:space="0" w:color="auto"/>
            </w:tcBorders>
          </w:tcPr>
          <w:p w14:paraId="0CCC0038" w14:textId="1F99604C" w:rsidR="002B5543" w:rsidRPr="0000386A" w:rsidRDefault="002B5543" w:rsidP="00AB248F">
            <w:pPr>
              <w:cnfStyle w:val="000000100000" w:firstRow="0" w:lastRow="0" w:firstColumn="0" w:lastColumn="0" w:oddVBand="0" w:evenVBand="0" w:oddHBand="1" w:evenHBand="0" w:firstRowFirstColumn="0" w:firstRowLastColumn="0" w:lastRowFirstColumn="0" w:lastRowLastColumn="0"/>
              <w:rPr>
                <w:b/>
                <w:szCs w:val="20"/>
                <w:highlight w:val="yellow"/>
              </w:rPr>
            </w:pPr>
            <w:r w:rsidRPr="00DA578B">
              <w:rPr>
                <w:b/>
                <w:szCs w:val="20"/>
              </w:rPr>
              <w:t>£</w:t>
            </w:r>
            <w:r>
              <w:rPr>
                <w:b/>
                <w:szCs w:val="20"/>
              </w:rPr>
              <w:t>29</w:t>
            </w:r>
            <w:r w:rsidRPr="00DA578B">
              <w:rPr>
                <w:b/>
                <w:szCs w:val="20"/>
              </w:rPr>
              <w:t>,</w:t>
            </w:r>
            <w:r>
              <w:rPr>
                <w:b/>
                <w:szCs w:val="20"/>
              </w:rPr>
              <w:t>662</w:t>
            </w:r>
          </w:p>
        </w:tc>
      </w:tr>
      <w:tr w:rsidR="002B5543" w14:paraId="5C1D7960" w14:textId="77777777" w:rsidTr="0039062A">
        <w:tc>
          <w:tcPr>
            <w:cnfStyle w:val="001000000000" w:firstRow="0" w:lastRow="0" w:firstColumn="1" w:lastColumn="0" w:oddVBand="0" w:evenVBand="0" w:oddHBand="0" w:evenHBand="0" w:firstRowFirstColumn="0" w:firstRowLastColumn="0" w:lastRowFirstColumn="0" w:lastRowLastColumn="0"/>
            <w:tcW w:w="1659" w:type="dxa"/>
          </w:tcPr>
          <w:p w14:paraId="3C969783" w14:textId="77777777" w:rsidR="002B5543" w:rsidRPr="0039062A" w:rsidRDefault="002B5543" w:rsidP="00AB248F">
            <w:pPr>
              <w:rPr>
                <w:rFonts w:cstheme="minorHAnsi"/>
                <w:b w:val="0"/>
                <w:szCs w:val="28"/>
                <w:lang w:val="en-AU"/>
              </w:rPr>
            </w:pPr>
            <w:r w:rsidRPr="0039062A">
              <w:rPr>
                <w:rFonts w:cstheme="minorHAnsi"/>
                <w:szCs w:val="28"/>
                <w:lang w:val="en-AU"/>
              </w:rPr>
              <w:t>b. Increased confidence completing daily living tasks independently</w:t>
            </w:r>
          </w:p>
        </w:tc>
        <w:tc>
          <w:tcPr>
            <w:tcW w:w="1292" w:type="dxa"/>
          </w:tcPr>
          <w:p w14:paraId="783F4F62"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eastAsia="en-GB"/>
              </w:rPr>
            </w:pPr>
            <w:r w:rsidRPr="0039062A">
              <w:rPr>
                <w:rFonts w:cstheme="minorHAnsi"/>
                <w:szCs w:val="28"/>
                <w:lang w:eastAsia="en-GB"/>
              </w:rPr>
              <w:t>Reduced use of mental health services/ counsellors for help with coping strategies for daily living</w:t>
            </w:r>
          </w:p>
        </w:tc>
        <w:tc>
          <w:tcPr>
            <w:tcW w:w="1655" w:type="dxa"/>
          </w:tcPr>
          <w:p w14:paraId="2FD557CA"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eastAsia="en-GB"/>
              </w:rPr>
            </w:pPr>
            <w:r w:rsidRPr="0039062A">
              <w:rPr>
                <w:rFonts w:cstheme="minorHAnsi"/>
                <w:szCs w:val="28"/>
                <w:lang w:eastAsia="en-GB"/>
              </w:rPr>
              <w:t>Mental health mindfulness and CBT treatment (i.e. for confidence)</w:t>
            </w:r>
          </w:p>
          <w:p w14:paraId="2695BD85"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eastAsia="en-GB"/>
              </w:rPr>
            </w:pPr>
            <w:r w:rsidRPr="0039062A">
              <w:rPr>
                <w:rFonts w:cstheme="minorHAnsi"/>
                <w:szCs w:val="28"/>
                <w:lang w:eastAsia="en-GB"/>
              </w:rPr>
              <w:t>£336 per course</w:t>
            </w:r>
          </w:p>
          <w:p w14:paraId="599468B0"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eastAsia="en-GB"/>
              </w:rPr>
            </w:pPr>
            <w:r w:rsidRPr="0039062A">
              <w:rPr>
                <w:rFonts w:cstheme="minorHAnsi"/>
                <w:szCs w:val="28"/>
                <w:lang w:eastAsia="en-GB"/>
              </w:rPr>
              <w:t>Curtis &amp; Burns. 2015.</w:t>
            </w:r>
          </w:p>
        </w:tc>
        <w:tc>
          <w:tcPr>
            <w:tcW w:w="2047" w:type="dxa"/>
          </w:tcPr>
          <w:p w14:paraId="2D810BD2"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No use of mental health service in year following service</w:t>
            </w:r>
          </w:p>
          <w:p w14:paraId="4AAF2FA3"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p>
        </w:tc>
        <w:tc>
          <w:tcPr>
            <w:tcW w:w="992" w:type="dxa"/>
          </w:tcPr>
          <w:p w14:paraId="3DC34A78" w14:textId="77777777" w:rsidR="002B5543" w:rsidRPr="00FE5DB2" w:rsidRDefault="002B5543" w:rsidP="00AB248F">
            <w:pPr>
              <w:cnfStyle w:val="000000000000" w:firstRow="0" w:lastRow="0" w:firstColumn="0" w:lastColumn="0" w:oddVBand="0" w:evenVBand="0" w:oddHBand="0" w:evenHBand="0" w:firstRowFirstColumn="0" w:firstRowLastColumn="0" w:lastRowFirstColumn="0" w:lastRowLastColumn="0"/>
              <w:rPr>
                <w:szCs w:val="28"/>
                <w:lang w:eastAsia="en-GB"/>
              </w:rPr>
            </w:pPr>
            <w:r w:rsidRPr="00FE5DB2">
              <w:rPr>
                <w:szCs w:val="28"/>
                <w:lang w:eastAsia="en-GB"/>
              </w:rPr>
              <w:t xml:space="preserve">£336 </w:t>
            </w:r>
          </w:p>
        </w:tc>
        <w:tc>
          <w:tcPr>
            <w:tcW w:w="1559" w:type="dxa"/>
          </w:tcPr>
          <w:p w14:paraId="080CB7A9" w14:textId="50DE18DA" w:rsidR="002B5543" w:rsidRPr="00FE5DB2" w:rsidRDefault="002B5543" w:rsidP="00AB248F">
            <w:pPr>
              <w:cnfStyle w:val="000000000000" w:firstRow="0" w:lastRow="0" w:firstColumn="0" w:lastColumn="0" w:oddVBand="0" w:evenVBand="0" w:oddHBand="0" w:evenHBand="0" w:firstRowFirstColumn="0" w:firstRowLastColumn="0" w:lastRowFirstColumn="0" w:lastRowLastColumn="0"/>
              <w:rPr>
                <w:szCs w:val="28"/>
                <w:lang w:val="en-AU"/>
              </w:rPr>
            </w:pPr>
            <w:r w:rsidRPr="00FE5DB2">
              <w:rPr>
                <w:szCs w:val="28"/>
                <w:lang w:val="en-AU"/>
              </w:rPr>
              <w:t>47% of 702</w:t>
            </w:r>
          </w:p>
        </w:tc>
        <w:tc>
          <w:tcPr>
            <w:tcW w:w="2140" w:type="dxa"/>
          </w:tcPr>
          <w:p w14:paraId="6AEE8E9B" w14:textId="77777777" w:rsidR="002B5543" w:rsidRPr="00FE5DB2" w:rsidRDefault="002B5543" w:rsidP="00AB248F">
            <w:pPr>
              <w:cnfStyle w:val="000000000000" w:firstRow="0" w:lastRow="0" w:firstColumn="0" w:lastColumn="0" w:oddVBand="0" w:evenVBand="0" w:oddHBand="0" w:evenHBand="0" w:firstRowFirstColumn="0" w:firstRowLastColumn="0" w:lastRowFirstColumn="0" w:lastRowLastColumn="0"/>
              <w:rPr>
                <w:szCs w:val="28"/>
                <w:lang w:val="en-AU"/>
              </w:rPr>
            </w:pPr>
            <w:r w:rsidRPr="00FE5DB2">
              <w:rPr>
                <w:szCs w:val="28"/>
                <w:lang w:val="en-AU"/>
              </w:rPr>
              <w:t>As above.</w:t>
            </w:r>
          </w:p>
        </w:tc>
        <w:tc>
          <w:tcPr>
            <w:tcW w:w="1687" w:type="dxa"/>
          </w:tcPr>
          <w:p w14:paraId="6BF8D30D" w14:textId="77777777" w:rsidR="002B5543" w:rsidRPr="00FE5DB2" w:rsidRDefault="002B5543" w:rsidP="00AB248F">
            <w:pPr>
              <w:cnfStyle w:val="000000000000" w:firstRow="0" w:lastRow="0" w:firstColumn="0" w:lastColumn="0" w:oddVBand="0" w:evenVBand="0" w:oddHBand="0" w:evenHBand="0" w:firstRowFirstColumn="0" w:firstRowLastColumn="0" w:lastRowFirstColumn="0" w:lastRowLastColumn="0"/>
              <w:rPr>
                <w:szCs w:val="28"/>
              </w:rPr>
            </w:pPr>
            <w:r w:rsidRPr="00FE5DB2">
              <w:rPr>
                <w:szCs w:val="28"/>
              </w:rPr>
              <w:t>10%</w:t>
            </w:r>
          </w:p>
          <w:p w14:paraId="42114E57" w14:textId="43C58120" w:rsidR="002B5543" w:rsidRPr="00FE5DB2" w:rsidRDefault="002B5543" w:rsidP="00AB248F">
            <w:pPr>
              <w:cnfStyle w:val="000000000000" w:firstRow="0" w:lastRow="0" w:firstColumn="0" w:lastColumn="0" w:oddVBand="0" w:evenVBand="0" w:oddHBand="0" w:evenHBand="0" w:firstRowFirstColumn="0" w:firstRowLastColumn="0" w:lastRowFirstColumn="0" w:lastRowLastColumn="0"/>
              <w:rPr>
                <w:b/>
                <w:szCs w:val="28"/>
                <w:highlight w:val="yellow"/>
              </w:rPr>
            </w:pPr>
            <w:r w:rsidRPr="00FE5DB2">
              <w:rPr>
                <w:szCs w:val="28"/>
              </w:rPr>
              <w:t>(Quartile approach)</w:t>
            </w:r>
          </w:p>
        </w:tc>
        <w:tc>
          <w:tcPr>
            <w:tcW w:w="1418" w:type="dxa"/>
          </w:tcPr>
          <w:p w14:paraId="5CE1C3B2" w14:textId="1F383228" w:rsidR="002B5543" w:rsidRPr="0000386A" w:rsidRDefault="002B5543" w:rsidP="00AB248F">
            <w:pPr>
              <w:cnfStyle w:val="000000000000" w:firstRow="0" w:lastRow="0" w:firstColumn="0" w:lastColumn="0" w:oddVBand="0" w:evenVBand="0" w:oddHBand="0" w:evenHBand="0" w:firstRowFirstColumn="0" w:firstRowLastColumn="0" w:lastRowFirstColumn="0" w:lastRowLastColumn="0"/>
              <w:rPr>
                <w:b/>
                <w:highlight w:val="yellow"/>
              </w:rPr>
            </w:pPr>
            <w:r w:rsidRPr="00DA578B">
              <w:rPr>
                <w:b/>
              </w:rPr>
              <w:t>£</w:t>
            </w:r>
            <w:r>
              <w:rPr>
                <w:b/>
              </w:rPr>
              <w:t>18</w:t>
            </w:r>
            <w:r w:rsidRPr="00DA578B">
              <w:rPr>
                <w:b/>
              </w:rPr>
              <w:t>,</w:t>
            </w:r>
            <w:r>
              <w:rPr>
                <w:b/>
              </w:rPr>
              <w:t>870</w:t>
            </w:r>
          </w:p>
        </w:tc>
      </w:tr>
      <w:tr w:rsidR="002B5543" w14:paraId="0CBE75AD" w14:textId="77777777" w:rsidTr="00390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Borders>
              <w:top w:val="none" w:sz="0" w:space="0" w:color="auto"/>
              <w:left w:val="none" w:sz="0" w:space="0" w:color="auto"/>
              <w:bottom w:val="none" w:sz="0" w:space="0" w:color="auto"/>
            </w:tcBorders>
          </w:tcPr>
          <w:p w14:paraId="71C63F6C" w14:textId="77777777" w:rsidR="002B5543" w:rsidRPr="00B53D12" w:rsidRDefault="002B5543" w:rsidP="00AB248F">
            <w:pPr>
              <w:rPr>
                <w:lang w:val="en-AU"/>
              </w:rPr>
            </w:pPr>
          </w:p>
        </w:tc>
        <w:tc>
          <w:tcPr>
            <w:tcW w:w="1292" w:type="dxa"/>
            <w:tcBorders>
              <w:top w:val="none" w:sz="0" w:space="0" w:color="auto"/>
              <w:bottom w:val="none" w:sz="0" w:space="0" w:color="auto"/>
            </w:tcBorders>
          </w:tcPr>
          <w:p w14:paraId="5D7C137C" w14:textId="77777777" w:rsidR="002B5543" w:rsidRPr="00DF12FA" w:rsidRDefault="002B5543" w:rsidP="00AB248F">
            <w:pPr>
              <w:cnfStyle w:val="000000100000" w:firstRow="0" w:lastRow="0" w:firstColumn="0" w:lastColumn="0" w:oddVBand="0" w:evenVBand="0" w:oddHBand="1" w:evenHBand="0" w:firstRowFirstColumn="0" w:firstRowLastColumn="0" w:lastRowFirstColumn="0" w:lastRowLastColumn="0"/>
              <w:rPr>
                <w:lang w:eastAsia="en-GB"/>
              </w:rPr>
            </w:pPr>
          </w:p>
        </w:tc>
        <w:tc>
          <w:tcPr>
            <w:tcW w:w="1655" w:type="dxa"/>
            <w:tcBorders>
              <w:top w:val="none" w:sz="0" w:space="0" w:color="auto"/>
              <w:bottom w:val="none" w:sz="0" w:space="0" w:color="auto"/>
            </w:tcBorders>
          </w:tcPr>
          <w:p w14:paraId="7C04629F" w14:textId="77777777" w:rsidR="002B5543" w:rsidRPr="00DF12FA" w:rsidRDefault="002B5543" w:rsidP="00AB248F">
            <w:pPr>
              <w:cnfStyle w:val="000000100000" w:firstRow="0" w:lastRow="0" w:firstColumn="0" w:lastColumn="0" w:oddVBand="0" w:evenVBand="0" w:oddHBand="1" w:evenHBand="0" w:firstRowFirstColumn="0" w:firstRowLastColumn="0" w:lastRowFirstColumn="0" w:lastRowLastColumn="0"/>
              <w:rPr>
                <w:lang w:eastAsia="en-GB"/>
              </w:rPr>
            </w:pPr>
          </w:p>
        </w:tc>
        <w:tc>
          <w:tcPr>
            <w:tcW w:w="2047" w:type="dxa"/>
            <w:tcBorders>
              <w:top w:val="none" w:sz="0" w:space="0" w:color="auto"/>
              <w:bottom w:val="none" w:sz="0" w:space="0" w:color="auto"/>
            </w:tcBorders>
          </w:tcPr>
          <w:p w14:paraId="4F486127" w14:textId="77777777" w:rsidR="002B5543" w:rsidRPr="00DF12FA" w:rsidRDefault="002B5543" w:rsidP="00AB248F">
            <w:pPr>
              <w:cnfStyle w:val="000000100000" w:firstRow="0" w:lastRow="0" w:firstColumn="0" w:lastColumn="0" w:oddVBand="0" w:evenVBand="0" w:oddHBand="1" w:evenHBand="0" w:firstRowFirstColumn="0" w:firstRowLastColumn="0" w:lastRowFirstColumn="0" w:lastRowLastColumn="0"/>
              <w:rPr>
                <w:lang w:val="en-AU"/>
              </w:rPr>
            </w:pPr>
          </w:p>
        </w:tc>
        <w:tc>
          <w:tcPr>
            <w:tcW w:w="992" w:type="dxa"/>
            <w:tcBorders>
              <w:top w:val="none" w:sz="0" w:space="0" w:color="auto"/>
              <w:bottom w:val="none" w:sz="0" w:space="0" w:color="auto"/>
            </w:tcBorders>
          </w:tcPr>
          <w:p w14:paraId="26C3E485" w14:textId="77777777" w:rsidR="002B5543" w:rsidRDefault="002B5543" w:rsidP="00AB248F">
            <w:pPr>
              <w:cnfStyle w:val="000000100000" w:firstRow="0" w:lastRow="0" w:firstColumn="0" w:lastColumn="0" w:oddVBand="0" w:evenVBand="0" w:oddHBand="1" w:evenHBand="0" w:firstRowFirstColumn="0" w:firstRowLastColumn="0" w:lastRowFirstColumn="0" w:lastRowLastColumn="0"/>
              <w:rPr>
                <w:lang w:eastAsia="en-GB"/>
              </w:rPr>
            </w:pPr>
          </w:p>
        </w:tc>
        <w:tc>
          <w:tcPr>
            <w:tcW w:w="1559" w:type="dxa"/>
            <w:tcBorders>
              <w:top w:val="none" w:sz="0" w:space="0" w:color="auto"/>
              <w:bottom w:val="none" w:sz="0" w:space="0" w:color="auto"/>
            </w:tcBorders>
          </w:tcPr>
          <w:p w14:paraId="44228381" w14:textId="77777777" w:rsidR="002B5543" w:rsidRDefault="002B5543" w:rsidP="00AB248F">
            <w:pPr>
              <w:cnfStyle w:val="000000100000" w:firstRow="0" w:lastRow="0" w:firstColumn="0" w:lastColumn="0" w:oddVBand="0" w:evenVBand="0" w:oddHBand="1" w:evenHBand="0" w:firstRowFirstColumn="0" w:firstRowLastColumn="0" w:lastRowFirstColumn="0" w:lastRowLastColumn="0"/>
              <w:rPr>
                <w:lang w:val="en-AU"/>
              </w:rPr>
            </w:pPr>
          </w:p>
        </w:tc>
        <w:tc>
          <w:tcPr>
            <w:tcW w:w="3827" w:type="dxa"/>
            <w:gridSpan w:val="2"/>
            <w:tcBorders>
              <w:top w:val="none" w:sz="0" w:space="0" w:color="auto"/>
              <w:bottom w:val="none" w:sz="0" w:space="0" w:color="auto"/>
            </w:tcBorders>
          </w:tcPr>
          <w:p w14:paraId="253B06E1" w14:textId="1281DA46" w:rsidR="002B5543" w:rsidRPr="0000386A" w:rsidRDefault="002B5543" w:rsidP="00AB248F">
            <w:pPr>
              <w:cnfStyle w:val="000000100000" w:firstRow="0" w:lastRow="0" w:firstColumn="0" w:lastColumn="0" w:oddVBand="0" w:evenVBand="0" w:oddHBand="1" w:evenHBand="0" w:firstRowFirstColumn="0" w:firstRowLastColumn="0" w:lastRowFirstColumn="0" w:lastRowLastColumn="0"/>
              <w:rPr>
                <w:b/>
                <w:highlight w:val="yellow"/>
              </w:rPr>
            </w:pPr>
            <w:r>
              <w:rPr>
                <w:b/>
                <w:lang w:val="en-AU"/>
              </w:rPr>
              <w:t>E</w:t>
            </w:r>
            <w:r w:rsidR="00A83202">
              <w:rPr>
                <w:b/>
                <w:lang w:val="en-AU"/>
              </w:rPr>
              <w:t>motional wellbeing total</w:t>
            </w:r>
          </w:p>
        </w:tc>
        <w:tc>
          <w:tcPr>
            <w:tcW w:w="1418" w:type="dxa"/>
            <w:tcBorders>
              <w:top w:val="none" w:sz="0" w:space="0" w:color="auto"/>
              <w:bottom w:val="none" w:sz="0" w:space="0" w:color="auto"/>
              <w:right w:val="none" w:sz="0" w:space="0" w:color="auto"/>
            </w:tcBorders>
          </w:tcPr>
          <w:p w14:paraId="73A49A40" w14:textId="019F7916" w:rsidR="002B5543" w:rsidRPr="0000386A" w:rsidRDefault="002B5543" w:rsidP="00AB248F">
            <w:pPr>
              <w:cnfStyle w:val="000000100000" w:firstRow="0" w:lastRow="0" w:firstColumn="0" w:lastColumn="0" w:oddVBand="0" w:evenVBand="0" w:oddHBand="1" w:evenHBand="0" w:firstRowFirstColumn="0" w:firstRowLastColumn="0" w:lastRowFirstColumn="0" w:lastRowLastColumn="0"/>
              <w:rPr>
                <w:b/>
                <w:highlight w:val="yellow"/>
              </w:rPr>
            </w:pPr>
            <w:r w:rsidRPr="00DA578B">
              <w:rPr>
                <w:b/>
              </w:rPr>
              <w:t>£</w:t>
            </w:r>
            <w:r>
              <w:rPr>
                <w:b/>
              </w:rPr>
              <w:t>48</w:t>
            </w:r>
            <w:r w:rsidRPr="00DA578B">
              <w:rPr>
                <w:b/>
              </w:rPr>
              <w:t>,</w:t>
            </w:r>
            <w:r>
              <w:rPr>
                <w:b/>
              </w:rPr>
              <w:t>531</w:t>
            </w:r>
          </w:p>
        </w:tc>
      </w:tr>
      <w:tr w:rsidR="002B5543" w14:paraId="1BDAC9B1" w14:textId="77777777" w:rsidTr="0039062A">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C0DEE0" w:themeFill="accent2" w:themeFillShade="E6"/>
          </w:tcPr>
          <w:p w14:paraId="01B51B09" w14:textId="6483A773" w:rsidR="002B5543" w:rsidRPr="0000386A" w:rsidRDefault="002B5543" w:rsidP="00AB248F">
            <w:pPr>
              <w:rPr>
                <w:b w:val="0"/>
                <w:highlight w:val="yellow"/>
              </w:rPr>
            </w:pPr>
            <w:r w:rsidRPr="00DA578B">
              <w:rPr>
                <w:lang w:val="en-AU"/>
              </w:rPr>
              <w:t xml:space="preserve">Impact Area Four: Improved Social Participation </w:t>
            </w:r>
          </w:p>
        </w:tc>
      </w:tr>
      <w:tr w:rsidR="002B5543" w14:paraId="0F7E3B73" w14:textId="77777777" w:rsidTr="00390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Borders>
              <w:top w:val="none" w:sz="0" w:space="0" w:color="auto"/>
              <w:left w:val="none" w:sz="0" w:space="0" w:color="auto"/>
              <w:bottom w:val="none" w:sz="0" w:space="0" w:color="auto"/>
            </w:tcBorders>
          </w:tcPr>
          <w:p w14:paraId="33783F3B" w14:textId="77777777" w:rsidR="002B5543" w:rsidRPr="0039062A" w:rsidRDefault="002B5543" w:rsidP="00AB248F">
            <w:pPr>
              <w:rPr>
                <w:b w:val="0"/>
                <w:szCs w:val="28"/>
                <w:lang w:val="en-AU"/>
              </w:rPr>
            </w:pPr>
            <w:r w:rsidRPr="0039062A">
              <w:rPr>
                <w:szCs w:val="28"/>
                <w:lang w:val="en-AU"/>
              </w:rPr>
              <w:t>a. Service user has increased contact with people in the community, networks and friends</w:t>
            </w:r>
          </w:p>
        </w:tc>
        <w:tc>
          <w:tcPr>
            <w:tcW w:w="1292" w:type="dxa"/>
            <w:tcBorders>
              <w:top w:val="none" w:sz="0" w:space="0" w:color="auto"/>
              <w:bottom w:val="none" w:sz="0" w:space="0" w:color="auto"/>
            </w:tcBorders>
          </w:tcPr>
          <w:p w14:paraId="271E8032"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szCs w:val="28"/>
                <w:lang w:eastAsia="en-GB"/>
              </w:rPr>
            </w:pPr>
            <w:r w:rsidRPr="0039062A">
              <w:rPr>
                <w:szCs w:val="28"/>
                <w:lang w:eastAsia="en-GB"/>
              </w:rPr>
              <w:t>Increased no. of contacts with family, friends, networks and community members</w:t>
            </w:r>
          </w:p>
        </w:tc>
        <w:tc>
          <w:tcPr>
            <w:tcW w:w="1655" w:type="dxa"/>
            <w:tcBorders>
              <w:top w:val="none" w:sz="0" w:space="0" w:color="auto"/>
              <w:bottom w:val="none" w:sz="0" w:space="0" w:color="auto"/>
            </w:tcBorders>
          </w:tcPr>
          <w:p w14:paraId="5828B5C2"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szCs w:val="28"/>
                <w:lang w:eastAsia="en-GB"/>
              </w:rPr>
            </w:pPr>
            <w:r w:rsidRPr="0039062A">
              <w:rPr>
                <w:szCs w:val="28"/>
                <w:lang w:eastAsia="en-GB"/>
              </w:rPr>
              <w:t xml:space="preserve">Mental health service costs </w:t>
            </w:r>
          </w:p>
          <w:p w14:paraId="2CD1CB23"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szCs w:val="28"/>
                <w:lang w:eastAsia="en-GB"/>
              </w:rPr>
            </w:pPr>
            <w:r w:rsidRPr="0039062A">
              <w:rPr>
                <w:szCs w:val="28"/>
                <w:lang w:eastAsia="en-GB"/>
              </w:rPr>
              <w:t>£899 per year</w:t>
            </w:r>
          </w:p>
          <w:p w14:paraId="076ADAA1"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szCs w:val="28"/>
                <w:lang w:eastAsia="en-GB"/>
              </w:rPr>
            </w:pPr>
            <w:r w:rsidRPr="0039062A">
              <w:rPr>
                <w:szCs w:val="28"/>
                <w:lang w:eastAsia="en-GB"/>
              </w:rPr>
              <w:t>New Economy. 2015.</w:t>
            </w:r>
          </w:p>
        </w:tc>
        <w:tc>
          <w:tcPr>
            <w:tcW w:w="2047" w:type="dxa"/>
            <w:tcBorders>
              <w:top w:val="none" w:sz="0" w:space="0" w:color="auto"/>
              <w:bottom w:val="none" w:sz="0" w:space="0" w:color="auto"/>
            </w:tcBorders>
          </w:tcPr>
          <w:p w14:paraId="29520EF5"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szCs w:val="28"/>
                <w:lang w:val="en-AU"/>
              </w:rPr>
            </w:pPr>
            <w:r w:rsidRPr="0039062A">
              <w:rPr>
                <w:szCs w:val="28"/>
                <w:lang w:val="en-AU"/>
              </w:rPr>
              <w:t>No use of mental health service in year following service</w:t>
            </w:r>
          </w:p>
        </w:tc>
        <w:tc>
          <w:tcPr>
            <w:tcW w:w="992" w:type="dxa"/>
            <w:tcBorders>
              <w:top w:val="none" w:sz="0" w:space="0" w:color="auto"/>
              <w:bottom w:val="none" w:sz="0" w:space="0" w:color="auto"/>
            </w:tcBorders>
          </w:tcPr>
          <w:p w14:paraId="4C1496E2"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szCs w:val="28"/>
                <w:lang w:eastAsia="en-GB"/>
              </w:rPr>
            </w:pPr>
            <w:r w:rsidRPr="0039062A">
              <w:rPr>
                <w:szCs w:val="28"/>
                <w:lang w:eastAsia="en-GB"/>
              </w:rPr>
              <w:t>£899</w:t>
            </w:r>
          </w:p>
        </w:tc>
        <w:tc>
          <w:tcPr>
            <w:tcW w:w="1559" w:type="dxa"/>
            <w:tcBorders>
              <w:top w:val="none" w:sz="0" w:space="0" w:color="auto"/>
              <w:bottom w:val="none" w:sz="0" w:space="0" w:color="auto"/>
            </w:tcBorders>
          </w:tcPr>
          <w:p w14:paraId="4CED39B0" w14:textId="43F7F3CD"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szCs w:val="28"/>
                <w:lang w:val="en-AU"/>
              </w:rPr>
            </w:pPr>
            <w:r w:rsidRPr="0039062A">
              <w:rPr>
                <w:szCs w:val="28"/>
                <w:lang w:val="en-AU"/>
              </w:rPr>
              <w:t>50% of 702</w:t>
            </w:r>
          </w:p>
        </w:tc>
        <w:tc>
          <w:tcPr>
            <w:tcW w:w="2140" w:type="dxa"/>
            <w:tcBorders>
              <w:top w:val="none" w:sz="0" w:space="0" w:color="auto"/>
              <w:bottom w:val="none" w:sz="0" w:space="0" w:color="auto"/>
            </w:tcBorders>
          </w:tcPr>
          <w:p w14:paraId="43CAE9C2"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b/>
                <w:szCs w:val="28"/>
                <w:lang w:val="en-AU"/>
              </w:rPr>
            </w:pPr>
            <w:r w:rsidRPr="0039062A">
              <w:rPr>
                <w:szCs w:val="28"/>
                <w:lang w:val="en-AU"/>
              </w:rPr>
              <w:t>Using a quartile approach to estimate this proportion - this 50% figure shows what the value would be if 50% of service users experience this outcome</w:t>
            </w:r>
            <w:r w:rsidRPr="0039062A">
              <w:rPr>
                <w:b/>
                <w:szCs w:val="28"/>
                <w:lang w:val="en-AU"/>
              </w:rPr>
              <w:t xml:space="preserve">.  </w:t>
            </w:r>
          </w:p>
        </w:tc>
        <w:tc>
          <w:tcPr>
            <w:tcW w:w="1687" w:type="dxa"/>
            <w:tcBorders>
              <w:top w:val="none" w:sz="0" w:space="0" w:color="auto"/>
              <w:bottom w:val="none" w:sz="0" w:space="0" w:color="auto"/>
            </w:tcBorders>
          </w:tcPr>
          <w:p w14:paraId="178A4DCA"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szCs w:val="28"/>
              </w:rPr>
            </w:pPr>
            <w:r w:rsidRPr="0039062A">
              <w:rPr>
                <w:szCs w:val="28"/>
              </w:rPr>
              <w:t>10%</w:t>
            </w:r>
          </w:p>
          <w:p w14:paraId="6B6AB833" w14:textId="2FD70976"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b/>
                <w:szCs w:val="28"/>
                <w:highlight w:val="yellow"/>
              </w:rPr>
            </w:pPr>
            <w:r w:rsidRPr="0039062A">
              <w:rPr>
                <w:szCs w:val="28"/>
              </w:rPr>
              <w:t>(Quartile approach)</w:t>
            </w:r>
          </w:p>
        </w:tc>
        <w:tc>
          <w:tcPr>
            <w:tcW w:w="1418" w:type="dxa"/>
            <w:tcBorders>
              <w:top w:val="none" w:sz="0" w:space="0" w:color="auto"/>
              <w:bottom w:val="none" w:sz="0" w:space="0" w:color="auto"/>
              <w:right w:val="none" w:sz="0" w:space="0" w:color="auto"/>
            </w:tcBorders>
          </w:tcPr>
          <w:p w14:paraId="5A7682A1" w14:textId="3B491265"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b/>
                <w:szCs w:val="28"/>
                <w:highlight w:val="yellow"/>
              </w:rPr>
            </w:pPr>
            <w:r w:rsidRPr="0039062A">
              <w:rPr>
                <w:b/>
                <w:szCs w:val="28"/>
              </w:rPr>
              <w:t>£31,555</w:t>
            </w:r>
          </w:p>
        </w:tc>
      </w:tr>
      <w:tr w:rsidR="002B5543" w14:paraId="0EE6B2BA" w14:textId="77777777" w:rsidTr="0039062A">
        <w:tc>
          <w:tcPr>
            <w:cnfStyle w:val="001000000000" w:firstRow="0" w:lastRow="0" w:firstColumn="1" w:lastColumn="0" w:oddVBand="0" w:evenVBand="0" w:oddHBand="0" w:evenHBand="0" w:firstRowFirstColumn="0" w:firstRowLastColumn="0" w:lastRowFirstColumn="0" w:lastRowLastColumn="0"/>
            <w:tcW w:w="1659" w:type="dxa"/>
          </w:tcPr>
          <w:p w14:paraId="78BB5FE6" w14:textId="77777777" w:rsidR="002B5543" w:rsidRPr="0039062A" w:rsidRDefault="002B5543" w:rsidP="00AB248F">
            <w:pPr>
              <w:rPr>
                <w:b w:val="0"/>
                <w:szCs w:val="28"/>
                <w:lang w:val="en-AU"/>
              </w:rPr>
            </w:pPr>
            <w:r w:rsidRPr="0039062A">
              <w:rPr>
                <w:szCs w:val="28"/>
                <w:lang w:val="en-AU"/>
              </w:rPr>
              <w:t>b. Service user has improved ability to use communications technology i.e. telephone, computer</w:t>
            </w:r>
          </w:p>
        </w:tc>
        <w:tc>
          <w:tcPr>
            <w:tcW w:w="1292" w:type="dxa"/>
          </w:tcPr>
          <w:p w14:paraId="475AF271"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szCs w:val="28"/>
                <w:lang w:eastAsia="en-GB"/>
              </w:rPr>
            </w:pPr>
            <w:r w:rsidRPr="0039062A">
              <w:rPr>
                <w:szCs w:val="28"/>
                <w:lang w:eastAsia="en-GB"/>
              </w:rPr>
              <w:t>Increased no. of contacts with family, friends, networks and community members</w:t>
            </w:r>
          </w:p>
        </w:tc>
        <w:tc>
          <w:tcPr>
            <w:tcW w:w="1655" w:type="dxa"/>
          </w:tcPr>
          <w:p w14:paraId="0713A482"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szCs w:val="28"/>
                <w:lang w:eastAsia="en-GB"/>
              </w:rPr>
            </w:pPr>
            <w:r w:rsidRPr="0039062A">
              <w:rPr>
                <w:szCs w:val="28"/>
                <w:lang w:eastAsia="en-GB"/>
              </w:rPr>
              <w:t xml:space="preserve">Mental health service costs </w:t>
            </w:r>
          </w:p>
          <w:p w14:paraId="179ABF55"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szCs w:val="28"/>
                <w:lang w:eastAsia="en-GB"/>
              </w:rPr>
            </w:pPr>
            <w:r w:rsidRPr="0039062A">
              <w:rPr>
                <w:szCs w:val="28"/>
                <w:lang w:eastAsia="en-GB"/>
              </w:rPr>
              <w:t>£899 per year</w:t>
            </w:r>
          </w:p>
          <w:p w14:paraId="26AAEAE2"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szCs w:val="28"/>
                <w:lang w:eastAsia="en-GB"/>
              </w:rPr>
            </w:pPr>
            <w:r w:rsidRPr="0039062A">
              <w:rPr>
                <w:szCs w:val="28"/>
                <w:lang w:eastAsia="en-GB"/>
              </w:rPr>
              <w:t>New Economy. 2015.</w:t>
            </w:r>
          </w:p>
        </w:tc>
        <w:tc>
          <w:tcPr>
            <w:tcW w:w="2047" w:type="dxa"/>
          </w:tcPr>
          <w:p w14:paraId="0601B320"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szCs w:val="28"/>
                <w:lang w:val="en-AU"/>
              </w:rPr>
            </w:pPr>
            <w:r w:rsidRPr="0039062A">
              <w:rPr>
                <w:szCs w:val="28"/>
                <w:lang w:val="en-AU"/>
              </w:rPr>
              <w:t>No use of mental health service in year following service</w:t>
            </w:r>
          </w:p>
        </w:tc>
        <w:tc>
          <w:tcPr>
            <w:tcW w:w="992" w:type="dxa"/>
          </w:tcPr>
          <w:p w14:paraId="0A418FFF"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szCs w:val="28"/>
                <w:lang w:eastAsia="en-GB"/>
              </w:rPr>
            </w:pPr>
            <w:r w:rsidRPr="0039062A">
              <w:rPr>
                <w:szCs w:val="28"/>
                <w:lang w:eastAsia="en-GB"/>
              </w:rPr>
              <w:t>£899</w:t>
            </w:r>
          </w:p>
        </w:tc>
        <w:tc>
          <w:tcPr>
            <w:tcW w:w="1559" w:type="dxa"/>
          </w:tcPr>
          <w:p w14:paraId="103DD40D" w14:textId="2F8B507C"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szCs w:val="28"/>
                <w:lang w:val="en-AU"/>
              </w:rPr>
            </w:pPr>
            <w:r w:rsidRPr="0039062A">
              <w:rPr>
                <w:szCs w:val="28"/>
                <w:lang w:val="en-AU"/>
              </w:rPr>
              <w:t>67% of 702</w:t>
            </w:r>
          </w:p>
        </w:tc>
        <w:tc>
          <w:tcPr>
            <w:tcW w:w="2140" w:type="dxa"/>
          </w:tcPr>
          <w:p w14:paraId="2EFCA2DB"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szCs w:val="28"/>
                <w:lang w:val="en-AU"/>
              </w:rPr>
            </w:pPr>
            <w:r w:rsidRPr="0039062A">
              <w:rPr>
                <w:szCs w:val="28"/>
                <w:lang w:val="en-AU"/>
              </w:rPr>
              <w:t>This outcome was spoken about more by older service users especially in relation to use of telephone with large buttons provided to them by SfS.</w:t>
            </w:r>
          </w:p>
          <w:p w14:paraId="2D0084E0"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szCs w:val="28"/>
                <w:lang w:val="en-AU"/>
              </w:rPr>
            </w:pPr>
            <w:r w:rsidRPr="0039062A">
              <w:rPr>
                <w:szCs w:val="28"/>
                <w:lang w:val="en-AU"/>
              </w:rPr>
              <w:t xml:space="preserve">The proportion is therefore based on the percentage of older people (over 65 years) in the Sight for Surrey sample.  </w:t>
            </w:r>
          </w:p>
        </w:tc>
        <w:tc>
          <w:tcPr>
            <w:tcW w:w="1687" w:type="dxa"/>
          </w:tcPr>
          <w:p w14:paraId="5821B2D7" w14:textId="77777777"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szCs w:val="28"/>
              </w:rPr>
            </w:pPr>
            <w:r w:rsidRPr="0039062A">
              <w:rPr>
                <w:szCs w:val="28"/>
              </w:rPr>
              <w:t>10%</w:t>
            </w:r>
          </w:p>
          <w:p w14:paraId="65FCD938" w14:textId="1FD6D51F"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b/>
                <w:szCs w:val="28"/>
                <w:highlight w:val="yellow"/>
              </w:rPr>
            </w:pPr>
            <w:r w:rsidRPr="0039062A">
              <w:rPr>
                <w:szCs w:val="28"/>
              </w:rPr>
              <w:t>(Quartile approach)</w:t>
            </w:r>
          </w:p>
        </w:tc>
        <w:tc>
          <w:tcPr>
            <w:tcW w:w="1418" w:type="dxa"/>
          </w:tcPr>
          <w:p w14:paraId="07F64CA3" w14:textId="72A08CB2" w:rsidR="002B5543" w:rsidRPr="0039062A" w:rsidRDefault="002B5543" w:rsidP="00AB248F">
            <w:pPr>
              <w:cnfStyle w:val="000000000000" w:firstRow="0" w:lastRow="0" w:firstColumn="0" w:lastColumn="0" w:oddVBand="0" w:evenVBand="0" w:oddHBand="0" w:evenHBand="0" w:firstRowFirstColumn="0" w:firstRowLastColumn="0" w:lastRowFirstColumn="0" w:lastRowLastColumn="0"/>
              <w:rPr>
                <w:b/>
                <w:szCs w:val="28"/>
                <w:highlight w:val="yellow"/>
              </w:rPr>
            </w:pPr>
            <w:r w:rsidRPr="0039062A">
              <w:rPr>
                <w:b/>
                <w:szCs w:val="28"/>
              </w:rPr>
              <w:t>£42,284</w:t>
            </w:r>
          </w:p>
        </w:tc>
      </w:tr>
      <w:tr w:rsidR="002B5543" w14:paraId="6A3D029C" w14:textId="77777777" w:rsidTr="00390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Borders>
              <w:top w:val="none" w:sz="0" w:space="0" w:color="auto"/>
              <w:left w:val="none" w:sz="0" w:space="0" w:color="auto"/>
              <w:bottom w:val="none" w:sz="0" w:space="0" w:color="auto"/>
            </w:tcBorders>
          </w:tcPr>
          <w:p w14:paraId="4363552C" w14:textId="77777777" w:rsidR="002B5543" w:rsidRPr="00BE5A26" w:rsidRDefault="002B5543" w:rsidP="00AB248F">
            <w:pPr>
              <w:rPr>
                <w:b w:val="0"/>
                <w:lang w:val="en-AU"/>
              </w:rPr>
            </w:pPr>
          </w:p>
        </w:tc>
        <w:tc>
          <w:tcPr>
            <w:tcW w:w="1292" w:type="dxa"/>
            <w:tcBorders>
              <w:top w:val="none" w:sz="0" w:space="0" w:color="auto"/>
              <w:bottom w:val="none" w:sz="0" w:space="0" w:color="auto"/>
            </w:tcBorders>
          </w:tcPr>
          <w:p w14:paraId="54C75D63" w14:textId="77777777" w:rsidR="002B5543" w:rsidRPr="00DF12FA" w:rsidRDefault="002B5543" w:rsidP="00AB248F">
            <w:pPr>
              <w:cnfStyle w:val="000000100000" w:firstRow="0" w:lastRow="0" w:firstColumn="0" w:lastColumn="0" w:oddVBand="0" w:evenVBand="0" w:oddHBand="1" w:evenHBand="0" w:firstRowFirstColumn="0" w:firstRowLastColumn="0" w:lastRowFirstColumn="0" w:lastRowLastColumn="0"/>
              <w:rPr>
                <w:lang w:eastAsia="en-GB"/>
              </w:rPr>
            </w:pPr>
          </w:p>
        </w:tc>
        <w:tc>
          <w:tcPr>
            <w:tcW w:w="1655" w:type="dxa"/>
            <w:tcBorders>
              <w:top w:val="none" w:sz="0" w:space="0" w:color="auto"/>
              <w:bottom w:val="none" w:sz="0" w:space="0" w:color="auto"/>
            </w:tcBorders>
          </w:tcPr>
          <w:p w14:paraId="7F568816" w14:textId="77777777" w:rsidR="002B5543" w:rsidRPr="00DF12FA" w:rsidRDefault="002B5543" w:rsidP="00AB248F">
            <w:pPr>
              <w:cnfStyle w:val="000000100000" w:firstRow="0" w:lastRow="0" w:firstColumn="0" w:lastColumn="0" w:oddVBand="0" w:evenVBand="0" w:oddHBand="1" w:evenHBand="0" w:firstRowFirstColumn="0" w:firstRowLastColumn="0" w:lastRowFirstColumn="0" w:lastRowLastColumn="0"/>
              <w:rPr>
                <w:lang w:eastAsia="en-GB"/>
              </w:rPr>
            </w:pPr>
          </w:p>
        </w:tc>
        <w:tc>
          <w:tcPr>
            <w:tcW w:w="2047" w:type="dxa"/>
            <w:tcBorders>
              <w:top w:val="none" w:sz="0" w:space="0" w:color="auto"/>
              <w:bottom w:val="none" w:sz="0" w:space="0" w:color="auto"/>
            </w:tcBorders>
          </w:tcPr>
          <w:p w14:paraId="35AFAE20" w14:textId="77777777" w:rsidR="002B5543" w:rsidRPr="00DF12FA" w:rsidRDefault="002B5543" w:rsidP="00AB248F">
            <w:pPr>
              <w:cnfStyle w:val="000000100000" w:firstRow="0" w:lastRow="0" w:firstColumn="0" w:lastColumn="0" w:oddVBand="0" w:evenVBand="0" w:oddHBand="1" w:evenHBand="0" w:firstRowFirstColumn="0" w:firstRowLastColumn="0" w:lastRowFirstColumn="0" w:lastRowLastColumn="0"/>
              <w:rPr>
                <w:lang w:val="en-AU"/>
              </w:rPr>
            </w:pPr>
          </w:p>
        </w:tc>
        <w:tc>
          <w:tcPr>
            <w:tcW w:w="992" w:type="dxa"/>
            <w:tcBorders>
              <w:top w:val="none" w:sz="0" w:space="0" w:color="auto"/>
              <w:bottom w:val="none" w:sz="0" w:space="0" w:color="auto"/>
            </w:tcBorders>
          </w:tcPr>
          <w:p w14:paraId="2FB7DE76" w14:textId="77777777" w:rsidR="002B5543" w:rsidRDefault="002B5543" w:rsidP="00AB248F">
            <w:pPr>
              <w:cnfStyle w:val="000000100000" w:firstRow="0" w:lastRow="0" w:firstColumn="0" w:lastColumn="0" w:oddVBand="0" w:evenVBand="0" w:oddHBand="1" w:evenHBand="0" w:firstRowFirstColumn="0" w:firstRowLastColumn="0" w:lastRowFirstColumn="0" w:lastRowLastColumn="0"/>
              <w:rPr>
                <w:lang w:eastAsia="en-GB"/>
              </w:rPr>
            </w:pPr>
          </w:p>
        </w:tc>
        <w:tc>
          <w:tcPr>
            <w:tcW w:w="1559" w:type="dxa"/>
            <w:tcBorders>
              <w:top w:val="none" w:sz="0" w:space="0" w:color="auto"/>
              <w:bottom w:val="none" w:sz="0" w:space="0" w:color="auto"/>
            </w:tcBorders>
          </w:tcPr>
          <w:p w14:paraId="3BDE30BB" w14:textId="77777777" w:rsidR="002B5543" w:rsidRDefault="002B5543" w:rsidP="00AB248F">
            <w:pPr>
              <w:cnfStyle w:val="000000100000" w:firstRow="0" w:lastRow="0" w:firstColumn="0" w:lastColumn="0" w:oddVBand="0" w:evenVBand="0" w:oddHBand="1" w:evenHBand="0" w:firstRowFirstColumn="0" w:firstRowLastColumn="0" w:lastRowFirstColumn="0" w:lastRowLastColumn="0"/>
              <w:rPr>
                <w:lang w:val="en-AU"/>
              </w:rPr>
            </w:pPr>
          </w:p>
        </w:tc>
        <w:tc>
          <w:tcPr>
            <w:tcW w:w="3827" w:type="dxa"/>
            <w:gridSpan w:val="2"/>
            <w:tcBorders>
              <w:top w:val="none" w:sz="0" w:space="0" w:color="auto"/>
              <w:bottom w:val="none" w:sz="0" w:space="0" w:color="auto"/>
            </w:tcBorders>
          </w:tcPr>
          <w:p w14:paraId="436F5912" w14:textId="5F90899C" w:rsidR="002B5543" w:rsidRPr="0000386A" w:rsidRDefault="002B5543" w:rsidP="00AB248F">
            <w:pPr>
              <w:cnfStyle w:val="000000100000" w:firstRow="0" w:lastRow="0" w:firstColumn="0" w:lastColumn="0" w:oddVBand="0" w:evenVBand="0" w:oddHBand="1" w:evenHBand="0" w:firstRowFirstColumn="0" w:firstRowLastColumn="0" w:lastRowFirstColumn="0" w:lastRowLastColumn="0"/>
              <w:rPr>
                <w:b/>
                <w:highlight w:val="yellow"/>
              </w:rPr>
            </w:pPr>
            <w:r>
              <w:rPr>
                <w:b/>
                <w:lang w:val="en-AU"/>
              </w:rPr>
              <w:t>S</w:t>
            </w:r>
            <w:r w:rsidR="00A83202">
              <w:rPr>
                <w:b/>
                <w:lang w:val="en-AU"/>
              </w:rPr>
              <w:t>ocial participation total</w:t>
            </w:r>
          </w:p>
        </w:tc>
        <w:tc>
          <w:tcPr>
            <w:tcW w:w="1418" w:type="dxa"/>
            <w:tcBorders>
              <w:top w:val="none" w:sz="0" w:space="0" w:color="auto"/>
              <w:bottom w:val="none" w:sz="0" w:space="0" w:color="auto"/>
              <w:right w:val="none" w:sz="0" w:space="0" w:color="auto"/>
            </w:tcBorders>
          </w:tcPr>
          <w:p w14:paraId="633B0508" w14:textId="527EACD3" w:rsidR="002B5543" w:rsidRPr="0000386A" w:rsidRDefault="002B5543" w:rsidP="00AB248F">
            <w:pPr>
              <w:cnfStyle w:val="000000100000" w:firstRow="0" w:lastRow="0" w:firstColumn="0" w:lastColumn="0" w:oddVBand="0" w:evenVBand="0" w:oddHBand="1" w:evenHBand="0" w:firstRowFirstColumn="0" w:firstRowLastColumn="0" w:lastRowFirstColumn="0" w:lastRowLastColumn="0"/>
              <w:rPr>
                <w:b/>
                <w:highlight w:val="yellow"/>
              </w:rPr>
            </w:pPr>
            <w:r w:rsidRPr="00DA578B">
              <w:rPr>
                <w:b/>
              </w:rPr>
              <w:t>£73,839</w:t>
            </w:r>
          </w:p>
        </w:tc>
      </w:tr>
      <w:tr w:rsidR="002B5543" w14:paraId="4B292D0B" w14:textId="77777777" w:rsidTr="0039062A">
        <w:tc>
          <w:tcPr>
            <w:cnfStyle w:val="001000000000" w:firstRow="0" w:lastRow="0" w:firstColumn="1" w:lastColumn="0" w:oddVBand="0" w:evenVBand="0" w:oddHBand="0" w:evenHBand="0" w:firstRowFirstColumn="0" w:firstRowLastColumn="0" w:lastRowFirstColumn="0" w:lastRowLastColumn="0"/>
            <w:tcW w:w="14449" w:type="dxa"/>
            <w:gridSpan w:val="9"/>
            <w:shd w:val="clear" w:color="auto" w:fill="C0DEE0" w:themeFill="accent2" w:themeFillShade="E6"/>
          </w:tcPr>
          <w:p w14:paraId="4199FA6E" w14:textId="21B8CFB2" w:rsidR="002B5543" w:rsidRPr="0000386A" w:rsidRDefault="002B5543" w:rsidP="00AB248F">
            <w:pPr>
              <w:rPr>
                <w:highlight w:val="yellow"/>
              </w:rPr>
            </w:pPr>
            <w:r w:rsidRPr="00DA578B">
              <w:rPr>
                <w:lang w:val="en-AU"/>
              </w:rPr>
              <w:t>Outcomes for family/carers: Reduced anxiety about service users</w:t>
            </w:r>
          </w:p>
        </w:tc>
      </w:tr>
      <w:tr w:rsidR="002B5543" w14:paraId="09B8AC18" w14:textId="77777777" w:rsidTr="00390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Borders>
              <w:top w:val="none" w:sz="0" w:space="0" w:color="auto"/>
              <w:left w:val="none" w:sz="0" w:space="0" w:color="auto"/>
              <w:bottom w:val="none" w:sz="0" w:space="0" w:color="auto"/>
            </w:tcBorders>
          </w:tcPr>
          <w:p w14:paraId="05B1EC18" w14:textId="77777777" w:rsidR="002B5543" w:rsidRPr="0039062A" w:rsidRDefault="002B5543" w:rsidP="00AB248F">
            <w:pPr>
              <w:rPr>
                <w:szCs w:val="28"/>
                <w:lang w:val="en-AU"/>
              </w:rPr>
            </w:pPr>
            <w:r w:rsidRPr="0039062A">
              <w:rPr>
                <w:szCs w:val="28"/>
                <w:lang w:val="en-AU"/>
              </w:rPr>
              <w:t>a. Increased confidence that service user has an additional source of support for vision impairment and decreased feelings of worry/anxiety about service use</w:t>
            </w:r>
          </w:p>
        </w:tc>
        <w:tc>
          <w:tcPr>
            <w:tcW w:w="1292" w:type="dxa"/>
            <w:tcBorders>
              <w:top w:val="none" w:sz="0" w:space="0" w:color="auto"/>
              <w:bottom w:val="none" w:sz="0" w:space="0" w:color="auto"/>
            </w:tcBorders>
          </w:tcPr>
          <w:p w14:paraId="15BB1A2E"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szCs w:val="28"/>
                <w:lang w:eastAsia="en-GB"/>
              </w:rPr>
            </w:pPr>
            <w:r w:rsidRPr="0039062A">
              <w:rPr>
                <w:szCs w:val="28"/>
                <w:lang w:eastAsia="en-GB"/>
              </w:rPr>
              <w:t>Reduced need for accessing mental health services due to stress, anxiety or depression</w:t>
            </w:r>
          </w:p>
        </w:tc>
        <w:tc>
          <w:tcPr>
            <w:tcW w:w="1655" w:type="dxa"/>
            <w:tcBorders>
              <w:top w:val="none" w:sz="0" w:space="0" w:color="auto"/>
              <w:bottom w:val="none" w:sz="0" w:space="0" w:color="auto"/>
            </w:tcBorders>
          </w:tcPr>
          <w:p w14:paraId="45E818CC"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szCs w:val="28"/>
                <w:lang w:eastAsia="en-GB"/>
              </w:rPr>
            </w:pPr>
            <w:r w:rsidRPr="0039062A">
              <w:rPr>
                <w:szCs w:val="28"/>
                <w:lang w:eastAsia="en-GB"/>
              </w:rPr>
              <w:t xml:space="preserve">Mental health service costs </w:t>
            </w:r>
          </w:p>
          <w:p w14:paraId="740C2BE3"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szCs w:val="28"/>
                <w:lang w:eastAsia="en-GB"/>
              </w:rPr>
            </w:pPr>
            <w:r w:rsidRPr="0039062A">
              <w:rPr>
                <w:szCs w:val="28"/>
                <w:lang w:eastAsia="en-GB"/>
              </w:rPr>
              <w:t>£899 per year</w:t>
            </w:r>
          </w:p>
          <w:p w14:paraId="11FCA53E"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szCs w:val="28"/>
                <w:lang w:eastAsia="en-GB"/>
              </w:rPr>
            </w:pPr>
            <w:r w:rsidRPr="0039062A">
              <w:rPr>
                <w:szCs w:val="28"/>
                <w:lang w:eastAsia="en-GB"/>
              </w:rPr>
              <w:t>New Economy. 2015</w:t>
            </w:r>
          </w:p>
        </w:tc>
        <w:tc>
          <w:tcPr>
            <w:tcW w:w="2047" w:type="dxa"/>
            <w:tcBorders>
              <w:top w:val="none" w:sz="0" w:space="0" w:color="auto"/>
              <w:bottom w:val="none" w:sz="0" w:space="0" w:color="auto"/>
            </w:tcBorders>
          </w:tcPr>
          <w:p w14:paraId="245C0614"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szCs w:val="28"/>
                <w:lang w:val="en-AU"/>
              </w:rPr>
            </w:pPr>
            <w:r w:rsidRPr="0039062A">
              <w:rPr>
                <w:szCs w:val="28"/>
                <w:lang w:val="en-AU"/>
              </w:rPr>
              <w:t>No use of mental health service in year following service</w:t>
            </w:r>
          </w:p>
          <w:p w14:paraId="7961FCD6" w14:textId="4636E003"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szCs w:val="28"/>
                <w:lang w:val="en-AU"/>
              </w:rPr>
            </w:pPr>
            <w:r w:rsidRPr="0039062A">
              <w:rPr>
                <w:szCs w:val="28"/>
                <w:lang w:val="en-AU"/>
              </w:rPr>
              <w:t>Informal care arrangements have been shown to impact the physical and mental health outcomes of carers [</w:t>
            </w:r>
            <w:r w:rsidRPr="0039062A">
              <w:rPr>
                <w:rStyle w:val="EndnoteReference"/>
                <w:szCs w:val="28"/>
              </w:rPr>
              <w:endnoteReference w:id="67"/>
            </w:r>
            <w:r w:rsidRPr="0039062A">
              <w:rPr>
                <w:szCs w:val="28"/>
                <w:lang w:val="en-AU"/>
              </w:rPr>
              <w:t xml:space="preserve">].  </w:t>
            </w:r>
          </w:p>
        </w:tc>
        <w:tc>
          <w:tcPr>
            <w:tcW w:w="992" w:type="dxa"/>
            <w:tcBorders>
              <w:top w:val="none" w:sz="0" w:space="0" w:color="auto"/>
              <w:bottom w:val="none" w:sz="0" w:space="0" w:color="auto"/>
            </w:tcBorders>
          </w:tcPr>
          <w:p w14:paraId="3F2D9A33"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szCs w:val="28"/>
                <w:lang w:eastAsia="en-GB"/>
              </w:rPr>
            </w:pPr>
            <w:r w:rsidRPr="0039062A">
              <w:rPr>
                <w:szCs w:val="28"/>
                <w:lang w:eastAsia="en-GB"/>
              </w:rPr>
              <w:t xml:space="preserve">£899 </w:t>
            </w:r>
          </w:p>
        </w:tc>
        <w:tc>
          <w:tcPr>
            <w:tcW w:w="1559" w:type="dxa"/>
            <w:tcBorders>
              <w:top w:val="none" w:sz="0" w:space="0" w:color="auto"/>
              <w:bottom w:val="none" w:sz="0" w:space="0" w:color="auto"/>
            </w:tcBorders>
          </w:tcPr>
          <w:p w14:paraId="53816520" w14:textId="567A38F1"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szCs w:val="28"/>
                <w:lang w:val="en-AU"/>
              </w:rPr>
            </w:pPr>
            <w:r w:rsidRPr="0039062A">
              <w:rPr>
                <w:szCs w:val="28"/>
                <w:lang w:val="en-AU"/>
              </w:rPr>
              <w:t>50% of 702</w:t>
            </w:r>
          </w:p>
        </w:tc>
        <w:tc>
          <w:tcPr>
            <w:tcW w:w="2140" w:type="dxa"/>
            <w:tcBorders>
              <w:top w:val="none" w:sz="0" w:space="0" w:color="auto"/>
              <w:bottom w:val="none" w:sz="0" w:space="0" w:color="auto"/>
            </w:tcBorders>
          </w:tcPr>
          <w:p w14:paraId="26116B39"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szCs w:val="28"/>
                <w:lang w:val="en-AU"/>
              </w:rPr>
            </w:pPr>
            <w:r w:rsidRPr="0039062A">
              <w:rPr>
                <w:szCs w:val="28"/>
                <w:lang w:val="en-AU"/>
              </w:rPr>
              <w:t xml:space="preserve">Professional staff at SfS who were interviewed spoke about this outcome for family and carers of service users at length.  </w:t>
            </w:r>
          </w:p>
          <w:p w14:paraId="054B2115"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b/>
                <w:szCs w:val="28"/>
                <w:lang w:val="en-AU"/>
              </w:rPr>
            </w:pPr>
            <w:r w:rsidRPr="0039062A">
              <w:rPr>
                <w:szCs w:val="28"/>
                <w:lang w:val="en-AU"/>
              </w:rPr>
              <w:t>Using a quartile approach to estimate this proportion - this 50% figure shows what the value would be if 50% of service users' family members and carers experience this outcome.</w:t>
            </w:r>
            <w:r w:rsidRPr="0039062A">
              <w:rPr>
                <w:b/>
                <w:szCs w:val="28"/>
                <w:lang w:val="en-AU"/>
              </w:rPr>
              <w:t xml:space="preserve">  </w:t>
            </w:r>
          </w:p>
        </w:tc>
        <w:tc>
          <w:tcPr>
            <w:tcW w:w="1687" w:type="dxa"/>
            <w:tcBorders>
              <w:top w:val="none" w:sz="0" w:space="0" w:color="auto"/>
              <w:bottom w:val="none" w:sz="0" w:space="0" w:color="auto"/>
            </w:tcBorders>
          </w:tcPr>
          <w:p w14:paraId="7899886A" w14:textId="77777777" w:rsidR="002B5543" w:rsidRPr="0039062A" w:rsidRDefault="002B5543" w:rsidP="00AB248F">
            <w:pPr>
              <w:cnfStyle w:val="000000100000" w:firstRow="0" w:lastRow="0" w:firstColumn="0" w:lastColumn="0" w:oddVBand="0" w:evenVBand="0" w:oddHBand="1" w:evenHBand="0" w:firstRowFirstColumn="0" w:firstRowLastColumn="0" w:lastRowFirstColumn="0" w:lastRowLastColumn="0"/>
              <w:rPr>
                <w:szCs w:val="28"/>
              </w:rPr>
            </w:pPr>
            <w:r w:rsidRPr="0039062A">
              <w:rPr>
                <w:szCs w:val="28"/>
              </w:rPr>
              <w:t>10%</w:t>
            </w:r>
          </w:p>
          <w:p w14:paraId="33767AA5" w14:textId="35133CED" w:rsidR="002B5543" w:rsidRPr="0000386A" w:rsidRDefault="002B5543" w:rsidP="00AB248F">
            <w:pPr>
              <w:cnfStyle w:val="000000100000" w:firstRow="0" w:lastRow="0" w:firstColumn="0" w:lastColumn="0" w:oddVBand="0" w:evenVBand="0" w:oddHBand="1" w:evenHBand="0" w:firstRowFirstColumn="0" w:firstRowLastColumn="0" w:lastRowFirstColumn="0" w:lastRowLastColumn="0"/>
              <w:rPr>
                <w:b/>
                <w:highlight w:val="yellow"/>
              </w:rPr>
            </w:pPr>
            <w:r w:rsidRPr="0039062A">
              <w:rPr>
                <w:szCs w:val="28"/>
              </w:rPr>
              <w:t>(Quartile approach)</w:t>
            </w:r>
          </w:p>
        </w:tc>
        <w:tc>
          <w:tcPr>
            <w:tcW w:w="1418" w:type="dxa"/>
            <w:tcBorders>
              <w:top w:val="none" w:sz="0" w:space="0" w:color="auto"/>
              <w:bottom w:val="none" w:sz="0" w:space="0" w:color="auto"/>
              <w:right w:val="none" w:sz="0" w:space="0" w:color="auto"/>
            </w:tcBorders>
          </w:tcPr>
          <w:p w14:paraId="2E40DF06" w14:textId="1A30D98F" w:rsidR="002B5543" w:rsidRPr="0000386A" w:rsidRDefault="002B5543" w:rsidP="00AB248F">
            <w:pPr>
              <w:cnfStyle w:val="000000100000" w:firstRow="0" w:lastRow="0" w:firstColumn="0" w:lastColumn="0" w:oddVBand="0" w:evenVBand="0" w:oddHBand="1" w:evenHBand="0" w:firstRowFirstColumn="0" w:firstRowLastColumn="0" w:lastRowFirstColumn="0" w:lastRowLastColumn="0"/>
              <w:rPr>
                <w:b/>
                <w:highlight w:val="yellow"/>
              </w:rPr>
            </w:pPr>
            <w:r w:rsidRPr="00DA578B">
              <w:rPr>
                <w:b/>
              </w:rPr>
              <w:t>£31,555</w:t>
            </w:r>
          </w:p>
        </w:tc>
      </w:tr>
      <w:tr w:rsidR="002B5543" w14:paraId="0662DC63" w14:textId="77777777" w:rsidTr="0039062A">
        <w:tc>
          <w:tcPr>
            <w:cnfStyle w:val="001000000000" w:firstRow="0" w:lastRow="0" w:firstColumn="1" w:lastColumn="0" w:oddVBand="0" w:evenVBand="0" w:oddHBand="0" w:evenHBand="0" w:firstRowFirstColumn="0" w:firstRowLastColumn="0" w:lastRowFirstColumn="0" w:lastRowLastColumn="0"/>
            <w:tcW w:w="1659" w:type="dxa"/>
          </w:tcPr>
          <w:p w14:paraId="0CAED011" w14:textId="77777777" w:rsidR="002B5543" w:rsidRPr="00BE5A26" w:rsidRDefault="002B5543" w:rsidP="00AB248F">
            <w:pPr>
              <w:rPr>
                <w:lang w:val="en-AU"/>
              </w:rPr>
            </w:pPr>
          </w:p>
        </w:tc>
        <w:tc>
          <w:tcPr>
            <w:tcW w:w="1292" w:type="dxa"/>
          </w:tcPr>
          <w:p w14:paraId="2970CA42" w14:textId="77777777" w:rsidR="002B5543" w:rsidRDefault="002B5543" w:rsidP="00AB248F">
            <w:pPr>
              <w:cnfStyle w:val="000000000000" w:firstRow="0" w:lastRow="0" w:firstColumn="0" w:lastColumn="0" w:oddVBand="0" w:evenVBand="0" w:oddHBand="0" w:evenHBand="0" w:firstRowFirstColumn="0" w:firstRowLastColumn="0" w:lastRowFirstColumn="0" w:lastRowLastColumn="0"/>
              <w:rPr>
                <w:lang w:eastAsia="en-GB"/>
              </w:rPr>
            </w:pPr>
          </w:p>
        </w:tc>
        <w:tc>
          <w:tcPr>
            <w:tcW w:w="1655" w:type="dxa"/>
          </w:tcPr>
          <w:p w14:paraId="670C14A6" w14:textId="77777777" w:rsidR="002B5543" w:rsidRPr="00E05391" w:rsidRDefault="002B5543" w:rsidP="00AB248F">
            <w:pPr>
              <w:cnfStyle w:val="000000000000" w:firstRow="0" w:lastRow="0" w:firstColumn="0" w:lastColumn="0" w:oddVBand="0" w:evenVBand="0" w:oddHBand="0" w:evenHBand="0" w:firstRowFirstColumn="0" w:firstRowLastColumn="0" w:lastRowFirstColumn="0" w:lastRowLastColumn="0"/>
              <w:rPr>
                <w:lang w:eastAsia="en-GB"/>
              </w:rPr>
            </w:pPr>
          </w:p>
        </w:tc>
        <w:tc>
          <w:tcPr>
            <w:tcW w:w="2047" w:type="dxa"/>
          </w:tcPr>
          <w:p w14:paraId="558119DE" w14:textId="77777777" w:rsidR="002B5543" w:rsidRDefault="002B5543" w:rsidP="00AB248F">
            <w:pPr>
              <w:cnfStyle w:val="000000000000" w:firstRow="0" w:lastRow="0" w:firstColumn="0" w:lastColumn="0" w:oddVBand="0" w:evenVBand="0" w:oddHBand="0" w:evenHBand="0" w:firstRowFirstColumn="0" w:firstRowLastColumn="0" w:lastRowFirstColumn="0" w:lastRowLastColumn="0"/>
              <w:rPr>
                <w:sz w:val="20"/>
                <w:lang w:val="en-AU"/>
              </w:rPr>
            </w:pPr>
          </w:p>
        </w:tc>
        <w:tc>
          <w:tcPr>
            <w:tcW w:w="992" w:type="dxa"/>
          </w:tcPr>
          <w:p w14:paraId="54CA3343" w14:textId="77777777" w:rsidR="002B5543" w:rsidRDefault="002B5543" w:rsidP="00AB248F">
            <w:pPr>
              <w:cnfStyle w:val="000000000000" w:firstRow="0" w:lastRow="0" w:firstColumn="0" w:lastColumn="0" w:oddVBand="0" w:evenVBand="0" w:oddHBand="0" w:evenHBand="0" w:firstRowFirstColumn="0" w:firstRowLastColumn="0" w:lastRowFirstColumn="0" w:lastRowLastColumn="0"/>
              <w:rPr>
                <w:lang w:eastAsia="en-GB"/>
              </w:rPr>
            </w:pPr>
          </w:p>
        </w:tc>
        <w:tc>
          <w:tcPr>
            <w:tcW w:w="1559" w:type="dxa"/>
          </w:tcPr>
          <w:p w14:paraId="6C1D7478" w14:textId="77777777" w:rsidR="002B5543" w:rsidRDefault="002B5543" w:rsidP="00AB248F">
            <w:pPr>
              <w:cnfStyle w:val="000000000000" w:firstRow="0" w:lastRow="0" w:firstColumn="0" w:lastColumn="0" w:oddVBand="0" w:evenVBand="0" w:oddHBand="0" w:evenHBand="0" w:firstRowFirstColumn="0" w:firstRowLastColumn="0" w:lastRowFirstColumn="0" w:lastRowLastColumn="0"/>
              <w:rPr>
                <w:lang w:val="en-AU"/>
              </w:rPr>
            </w:pPr>
          </w:p>
        </w:tc>
        <w:tc>
          <w:tcPr>
            <w:tcW w:w="3827" w:type="dxa"/>
            <w:gridSpan w:val="2"/>
          </w:tcPr>
          <w:p w14:paraId="6DB029E2" w14:textId="63DF1120" w:rsidR="002B5543" w:rsidRPr="0000386A" w:rsidRDefault="002B5543" w:rsidP="00AB248F">
            <w:pPr>
              <w:cnfStyle w:val="000000000000" w:firstRow="0" w:lastRow="0" w:firstColumn="0" w:lastColumn="0" w:oddVBand="0" w:evenVBand="0" w:oddHBand="0" w:evenHBand="0" w:firstRowFirstColumn="0" w:firstRowLastColumn="0" w:lastRowFirstColumn="0" w:lastRowLastColumn="0"/>
              <w:rPr>
                <w:b/>
                <w:highlight w:val="yellow"/>
              </w:rPr>
            </w:pPr>
            <w:r w:rsidRPr="0000386A">
              <w:rPr>
                <w:b/>
                <w:lang w:val="en-AU"/>
              </w:rPr>
              <w:t>O</w:t>
            </w:r>
            <w:r w:rsidR="00A83202">
              <w:rPr>
                <w:b/>
                <w:lang w:val="en-AU"/>
              </w:rPr>
              <w:t>utcomes for cares total</w:t>
            </w:r>
          </w:p>
        </w:tc>
        <w:tc>
          <w:tcPr>
            <w:tcW w:w="1418" w:type="dxa"/>
          </w:tcPr>
          <w:p w14:paraId="387BF495" w14:textId="3E65502E" w:rsidR="002B5543" w:rsidRPr="0000386A" w:rsidRDefault="002B5543" w:rsidP="00AB248F">
            <w:pPr>
              <w:cnfStyle w:val="000000000000" w:firstRow="0" w:lastRow="0" w:firstColumn="0" w:lastColumn="0" w:oddVBand="0" w:evenVBand="0" w:oddHBand="0" w:evenHBand="0" w:firstRowFirstColumn="0" w:firstRowLastColumn="0" w:lastRowFirstColumn="0" w:lastRowLastColumn="0"/>
              <w:rPr>
                <w:b/>
                <w:highlight w:val="yellow"/>
              </w:rPr>
            </w:pPr>
            <w:r w:rsidRPr="00DA578B">
              <w:rPr>
                <w:b/>
              </w:rPr>
              <w:t>£31,555</w:t>
            </w:r>
          </w:p>
        </w:tc>
      </w:tr>
      <w:tr w:rsidR="002B5543" w14:paraId="290A20DA" w14:textId="77777777" w:rsidTr="0036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Borders>
              <w:top w:val="none" w:sz="0" w:space="0" w:color="auto"/>
              <w:left w:val="none" w:sz="0" w:space="0" w:color="auto"/>
              <w:bottom w:val="none" w:sz="0" w:space="0" w:color="auto"/>
            </w:tcBorders>
            <w:shd w:val="clear" w:color="auto" w:fill="auto"/>
          </w:tcPr>
          <w:p w14:paraId="19AD76CB" w14:textId="77777777" w:rsidR="002B5543" w:rsidRPr="00BE5A26" w:rsidRDefault="002B5543" w:rsidP="00AB248F">
            <w:pPr>
              <w:rPr>
                <w:lang w:val="en-AU"/>
              </w:rPr>
            </w:pPr>
          </w:p>
        </w:tc>
        <w:tc>
          <w:tcPr>
            <w:tcW w:w="1292" w:type="dxa"/>
            <w:tcBorders>
              <w:top w:val="none" w:sz="0" w:space="0" w:color="auto"/>
              <w:bottom w:val="none" w:sz="0" w:space="0" w:color="auto"/>
            </w:tcBorders>
            <w:shd w:val="clear" w:color="auto" w:fill="auto"/>
          </w:tcPr>
          <w:p w14:paraId="2EB2FF65" w14:textId="77777777" w:rsidR="002B5543" w:rsidRDefault="002B5543" w:rsidP="00AB248F">
            <w:pPr>
              <w:cnfStyle w:val="000000100000" w:firstRow="0" w:lastRow="0" w:firstColumn="0" w:lastColumn="0" w:oddVBand="0" w:evenVBand="0" w:oddHBand="1" w:evenHBand="0" w:firstRowFirstColumn="0" w:firstRowLastColumn="0" w:lastRowFirstColumn="0" w:lastRowLastColumn="0"/>
              <w:rPr>
                <w:lang w:eastAsia="en-GB"/>
              </w:rPr>
            </w:pPr>
          </w:p>
        </w:tc>
        <w:tc>
          <w:tcPr>
            <w:tcW w:w="1655" w:type="dxa"/>
            <w:tcBorders>
              <w:top w:val="none" w:sz="0" w:space="0" w:color="auto"/>
              <w:bottom w:val="none" w:sz="0" w:space="0" w:color="auto"/>
            </w:tcBorders>
            <w:shd w:val="clear" w:color="auto" w:fill="auto"/>
          </w:tcPr>
          <w:p w14:paraId="23FCA1A1" w14:textId="77777777" w:rsidR="002B5543" w:rsidRPr="00E05391" w:rsidRDefault="002B5543" w:rsidP="00AB248F">
            <w:pPr>
              <w:cnfStyle w:val="000000100000" w:firstRow="0" w:lastRow="0" w:firstColumn="0" w:lastColumn="0" w:oddVBand="0" w:evenVBand="0" w:oddHBand="1" w:evenHBand="0" w:firstRowFirstColumn="0" w:firstRowLastColumn="0" w:lastRowFirstColumn="0" w:lastRowLastColumn="0"/>
              <w:rPr>
                <w:lang w:eastAsia="en-GB"/>
              </w:rPr>
            </w:pPr>
          </w:p>
        </w:tc>
        <w:tc>
          <w:tcPr>
            <w:tcW w:w="2047" w:type="dxa"/>
            <w:tcBorders>
              <w:top w:val="none" w:sz="0" w:space="0" w:color="auto"/>
              <w:bottom w:val="none" w:sz="0" w:space="0" w:color="auto"/>
            </w:tcBorders>
            <w:shd w:val="clear" w:color="auto" w:fill="auto"/>
          </w:tcPr>
          <w:p w14:paraId="2DD17275" w14:textId="77777777" w:rsidR="002B5543" w:rsidRDefault="002B5543" w:rsidP="00AB248F">
            <w:pPr>
              <w:cnfStyle w:val="000000100000" w:firstRow="0" w:lastRow="0" w:firstColumn="0" w:lastColumn="0" w:oddVBand="0" w:evenVBand="0" w:oddHBand="1" w:evenHBand="0" w:firstRowFirstColumn="0" w:firstRowLastColumn="0" w:lastRowFirstColumn="0" w:lastRowLastColumn="0"/>
              <w:rPr>
                <w:sz w:val="20"/>
                <w:lang w:val="en-AU"/>
              </w:rPr>
            </w:pPr>
          </w:p>
        </w:tc>
        <w:tc>
          <w:tcPr>
            <w:tcW w:w="992" w:type="dxa"/>
            <w:tcBorders>
              <w:top w:val="none" w:sz="0" w:space="0" w:color="auto"/>
              <w:bottom w:val="none" w:sz="0" w:space="0" w:color="auto"/>
            </w:tcBorders>
            <w:shd w:val="clear" w:color="auto" w:fill="auto"/>
          </w:tcPr>
          <w:p w14:paraId="5720CB98" w14:textId="77777777" w:rsidR="002B5543" w:rsidRDefault="002B5543" w:rsidP="00AB248F">
            <w:pPr>
              <w:cnfStyle w:val="000000100000" w:firstRow="0" w:lastRow="0" w:firstColumn="0" w:lastColumn="0" w:oddVBand="0" w:evenVBand="0" w:oddHBand="1" w:evenHBand="0" w:firstRowFirstColumn="0" w:firstRowLastColumn="0" w:lastRowFirstColumn="0" w:lastRowLastColumn="0"/>
              <w:rPr>
                <w:lang w:eastAsia="en-GB"/>
              </w:rPr>
            </w:pPr>
          </w:p>
        </w:tc>
        <w:tc>
          <w:tcPr>
            <w:tcW w:w="1559" w:type="dxa"/>
            <w:tcBorders>
              <w:top w:val="none" w:sz="0" w:space="0" w:color="auto"/>
              <w:bottom w:val="none" w:sz="0" w:space="0" w:color="auto"/>
            </w:tcBorders>
            <w:shd w:val="clear" w:color="auto" w:fill="auto"/>
          </w:tcPr>
          <w:p w14:paraId="202F5EF0" w14:textId="77777777" w:rsidR="002B5543" w:rsidRDefault="002B5543" w:rsidP="00AB248F">
            <w:pPr>
              <w:cnfStyle w:val="000000100000" w:firstRow="0" w:lastRow="0" w:firstColumn="0" w:lastColumn="0" w:oddVBand="0" w:evenVBand="0" w:oddHBand="1" w:evenHBand="0" w:firstRowFirstColumn="0" w:firstRowLastColumn="0" w:lastRowFirstColumn="0" w:lastRowLastColumn="0"/>
              <w:rPr>
                <w:lang w:val="en-AU"/>
              </w:rPr>
            </w:pPr>
          </w:p>
        </w:tc>
        <w:tc>
          <w:tcPr>
            <w:tcW w:w="2140" w:type="dxa"/>
            <w:tcBorders>
              <w:top w:val="none" w:sz="0" w:space="0" w:color="auto"/>
              <w:bottom w:val="none" w:sz="0" w:space="0" w:color="auto"/>
            </w:tcBorders>
            <w:shd w:val="clear" w:color="auto" w:fill="auto"/>
          </w:tcPr>
          <w:p w14:paraId="5459D30F" w14:textId="0C9F9280" w:rsidR="002B5543" w:rsidRPr="0000386A" w:rsidRDefault="00A83202" w:rsidP="00AB248F">
            <w:pPr>
              <w:cnfStyle w:val="000000100000" w:firstRow="0" w:lastRow="0" w:firstColumn="0" w:lastColumn="0" w:oddVBand="0" w:evenVBand="0" w:oddHBand="1" w:evenHBand="0" w:firstRowFirstColumn="0" w:firstRowLastColumn="0" w:lastRowFirstColumn="0" w:lastRowLastColumn="0"/>
              <w:rPr>
                <w:b/>
                <w:lang w:val="en-AU"/>
              </w:rPr>
            </w:pPr>
            <w:r>
              <w:rPr>
                <w:b/>
                <w:lang w:val="en-AU"/>
              </w:rPr>
              <w:t>Total</w:t>
            </w:r>
          </w:p>
        </w:tc>
        <w:tc>
          <w:tcPr>
            <w:tcW w:w="1687" w:type="dxa"/>
            <w:tcBorders>
              <w:top w:val="none" w:sz="0" w:space="0" w:color="auto"/>
              <w:bottom w:val="none" w:sz="0" w:space="0" w:color="auto"/>
            </w:tcBorders>
            <w:shd w:val="clear" w:color="auto" w:fill="auto"/>
          </w:tcPr>
          <w:p w14:paraId="32B42F96" w14:textId="77777777" w:rsidR="002B5543" w:rsidRPr="0000386A" w:rsidRDefault="002B5543" w:rsidP="00AB248F">
            <w:pPr>
              <w:cnfStyle w:val="000000100000" w:firstRow="0" w:lastRow="0" w:firstColumn="0" w:lastColumn="0" w:oddVBand="0" w:evenVBand="0" w:oddHBand="1" w:evenHBand="0" w:firstRowFirstColumn="0" w:firstRowLastColumn="0" w:lastRowFirstColumn="0" w:lastRowLastColumn="0"/>
              <w:rPr>
                <w:b/>
                <w:highlight w:val="yellow"/>
              </w:rPr>
            </w:pPr>
          </w:p>
        </w:tc>
        <w:tc>
          <w:tcPr>
            <w:tcW w:w="1418" w:type="dxa"/>
            <w:tcBorders>
              <w:top w:val="none" w:sz="0" w:space="0" w:color="auto"/>
              <w:bottom w:val="none" w:sz="0" w:space="0" w:color="auto"/>
              <w:right w:val="none" w:sz="0" w:space="0" w:color="auto"/>
            </w:tcBorders>
            <w:shd w:val="clear" w:color="auto" w:fill="auto"/>
          </w:tcPr>
          <w:p w14:paraId="1502D74B" w14:textId="32E255E1" w:rsidR="002B5543" w:rsidRPr="0000386A" w:rsidRDefault="002B5543" w:rsidP="00AB248F">
            <w:pPr>
              <w:cnfStyle w:val="000000100000" w:firstRow="0" w:lastRow="0" w:firstColumn="0" w:lastColumn="0" w:oddVBand="0" w:evenVBand="0" w:oddHBand="1" w:evenHBand="0" w:firstRowFirstColumn="0" w:firstRowLastColumn="0" w:lastRowFirstColumn="0" w:lastRowLastColumn="0"/>
              <w:rPr>
                <w:b/>
                <w:highlight w:val="yellow"/>
              </w:rPr>
            </w:pPr>
            <w:r w:rsidRPr="00DA578B">
              <w:rPr>
                <w:b/>
              </w:rPr>
              <w:t>£3,168,02</w:t>
            </w:r>
            <w:r>
              <w:rPr>
                <w:b/>
              </w:rPr>
              <w:t>2</w:t>
            </w:r>
          </w:p>
        </w:tc>
      </w:tr>
    </w:tbl>
    <w:p w14:paraId="1CF29F49" w14:textId="305E1D5A" w:rsidR="002B5543" w:rsidRDefault="002B5543" w:rsidP="00885C85">
      <w:pPr>
        <w:tabs>
          <w:tab w:val="left" w:pos="1803"/>
        </w:tabs>
        <w:rPr>
          <w:lang w:eastAsia="en-GB"/>
        </w:rPr>
      </w:pPr>
      <w:r>
        <w:rPr>
          <w:lang w:eastAsia="en-GB"/>
        </w:rPr>
        <w:br w:type="textWrapping" w:clear="all"/>
      </w:r>
      <w:r>
        <w:rPr>
          <w:lang w:eastAsia="en-GB"/>
        </w:rPr>
        <w:tab/>
      </w:r>
    </w:p>
    <w:p w14:paraId="12100CD8" w14:textId="75F27401" w:rsidR="002B5543" w:rsidRPr="000A6006" w:rsidRDefault="002B5543" w:rsidP="00DA578B">
      <w:pPr>
        <w:pStyle w:val="Caption"/>
        <w:keepNext/>
        <w:rPr>
          <w:color w:val="auto"/>
          <w:sz w:val="28"/>
          <w:szCs w:val="28"/>
        </w:rPr>
      </w:pPr>
      <w:r w:rsidRPr="000A6006">
        <w:rPr>
          <w:color w:val="auto"/>
          <w:sz w:val="28"/>
          <w:szCs w:val="28"/>
        </w:rPr>
        <w:t xml:space="preserve">Appendix Table </w:t>
      </w:r>
      <w:r w:rsidR="003944CD" w:rsidRPr="000A6006">
        <w:rPr>
          <w:color w:val="auto"/>
          <w:sz w:val="28"/>
          <w:szCs w:val="28"/>
        </w:rPr>
        <w:fldChar w:fldCharType="begin"/>
      </w:r>
      <w:r w:rsidR="003944CD" w:rsidRPr="000A6006">
        <w:rPr>
          <w:color w:val="auto"/>
          <w:sz w:val="28"/>
          <w:szCs w:val="28"/>
        </w:rPr>
        <w:instrText xml:space="preserve"> SEQ Appendix_Table \* ARABIC </w:instrText>
      </w:r>
      <w:r w:rsidR="003944CD" w:rsidRPr="000A6006">
        <w:rPr>
          <w:color w:val="auto"/>
          <w:sz w:val="28"/>
          <w:szCs w:val="28"/>
        </w:rPr>
        <w:fldChar w:fldCharType="separate"/>
      </w:r>
      <w:r w:rsidRPr="000A6006">
        <w:rPr>
          <w:noProof/>
          <w:color w:val="auto"/>
          <w:sz w:val="28"/>
          <w:szCs w:val="28"/>
        </w:rPr>
        <w:t>2</w:t>
      </w:r>
      <w:r w:rsidR="003944CD" w:rsidRPr="000A6006">
        <w:rPr>
          <w:noProof/>
          <w:color w:val="auto"/>
          <w:sz w:val="28"/>
          <w:szCs w:val="28"/>
        </w:rPr>
        <w:fldChar w:fldCharType="end"/>
      </w:r>
      <w:r w:rsidRPr="000A6006">
        <w:rPr>
          <w:color w:val="auto"/>
          <w:sz w:val="28"/>
          <w:szCs w:val="28"/>
        </w:rPr>
        <w:t xml:space="preserve">: Costs avoided that accrue to the service user, their family or carer. </w:t>
      </w:r>
    </w:p>
    <w:tbl>
      <w:tblPr>
        <w:tblStyle w:val="OPMLightListorBox"/>
        <w:tblW w:w="14449" w:type="dxa"/>
        <w:tblLayout w:type="fixed"/>
        <w:tblLook w:val="04A0" w:firstRow="1" w:lastRow="0" w:firstColumn="1" w:lastColumn="0" w:noHBand="0" w:noVBand="1"/>
      </w:tblPr>
      <w:tblGrid>
        <w:gridCol w:w="1408"/>
        <w:gridCol w:w="1559"/>
        <w:gridCol w:w="1985"/>
        <w:gridCol w:w="1701"/>
        <w:gridCol w:w="1134"/>
        <w:gridCol w:w="1559"/>
        <w:gridCol w:w="1984"/>
        <w:gridCol w:w="1701"/>
        <w:gridCol w:w="1418"/>
      </w:tblGrid>
      <w:tr w:rsidR="002B5543" w:rsidRPr="00A968F4" w14:paraId="5ADC3239" w14:textId="77777777" w:rsidTr="000A60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08" w:type="dxa"/>
            <w:tcBorders>
              <w:top w:val="single" w:sz="4" w:space="0" w:color="auto"/>
              <w:left w:val="single" w:sz="4" w:space="0" w:color="auto"/>
              <w:bottom w:val="single" w:sz="4" w:space="0" w:color="auto"/>
              <w:right w:val="single" w:sz="4" w:space="0" w:color="auto"/>
            </w:tcBorders>
          </w:tcPr>
          <w:p w14:paraId="22D573CF" w14:textId="77777777" w:rsidR="002B5543" w:rsidRPr="0039062A" w:rsidRDefault="002B5543" w:rsidP="00885C85">
            <w:pPr>
              <w:rPr>
                <w:rFonts w:cstheme="minorHAnsi"/>
                <w:szCs w:val="28"/>
                <w:lang w:eastAsia="en-GB"/>
              </w:rPr>
            </w:pPr>
            <w:bookmarkStart w:id="53" w:name="Columntitle"/>
            <w:bookmarkEnd w:id="53"/>
            <w:r w:rsidRPr="0039062A">
              <w:rPr>
                <w:rFonts w:cstheme="minorHAnsi"/>
                <w:color w:val="auto"/>
                <w:szCs w:val="28"/>
                <w:lang w:val="en-AU"/>
              </w:rPr>
              <w:t>Outcome</w:t>
            </w:r>
          </w:p>
        </w:tc>
        <w:tc>
          <w:tcPr>
            <w:tcW w:w="1559" w:type="dxa"/>
            <w:tcBorders>
              <w:top w:val="single" w:sz="4" w:space="0" w:color="auto"/>
              <w:left w:val="single" w:sz="4" w:space="0" w:color="auto"/>
              <w:bottom w:val="single" w:sz="4" w:space="0" w:color="auto"/>
              <w:right w:val="single" w:sz="4" w:space="0" w:color="auto"/>
            </w:tcBorders>
          </w:tcPr>
          <w:p w14:paraId="71C8A031" w14:textId="77777777" w:rsidR="002B5543" w:rsidRPr="0039062A" w:rsidRDefault="002B5543" w:rsidP="00885C85">
            <w:pPr>
              <w:cnfStyle w:val="100000000000" w:firstRow="1" w:lastRow="0" w:firstColumn="0" w:lastColumn="0" w:oddVBand="0" w:evenVBand="0" w:oddHBand="0" w:evenHBand="0" w:firstRowFirstColumn="0" w:firstRowLastColumn="0" w:lastRowFirstColumn="0" w:lastRowLastColumn="0"/>
              <w:rPr>
                <w:rFonts w:cstheme="minorHAnsi"/>
                <w:szCs w:val="28"/>
                <w:lang w:eastAsia="en-GB"/>
              </w:rPr>
            </w:pPr>
            <w:r w:rsidRPr="0039062A">
              <w:rPr>
                <w:rFonts w:cstheme="minorHAnsi"/>
                <w:color w:val="auto"/>
                <w:szCs w:val="28"/>
                <w:lang w:val="en-AU"/>
              </w:rPr>
              <w:t>Indicator</w:t>
            </w:r>
          </w:p>
        </w:tc>
        <w:tc>
          <w:tcPr>
            <w:tcW w:w="1985" w:type="dxa"/>
            <w:tcBorders>
              <w:top w:val="single" w:sz="4" w:space="0" w:color="auto"/>
              <w:left w:val="single" w:sz="4" w:space="0" w:color="auto"/>
              <w:bottom w:val="single" w:sz="4" w:space="0" w:color="auto"/>
              <w:right w:val="single" w:sz="4" w:space="0" w:color="auto"/>
            </w:tcBorders>
          </w:tcPr>
          <w:p w14:paraId="38B66965" w14:textId="77777777" w:rsidR="002B5543" w:rsidRPr="0039062A" w:rsidRDefault="002B5543" w:rsidP="00885C85">
            <w:pPr>
              <w:cnfStyle w:val="100000000000" w:firstRow="1" w:lastRow="0" w:firstColumn="0" w:lastColumn="0" w:oddVBand="0" w:evenVBand="0" w:oddHBand="0" w:evenHBand="0" w:firstRowFirstColumn="0" w:firstRowLastColumn="0" w:lastRowFirstColumn="0" w:lastRowLastColumn="0"/>
              <w:rPr>
                <w:rFonts w:cstheme="minorHAnsi"/>
                <w:color w:val="auto"/>
                <w:szCs w:val="28"/>
                <w:lang w:val="en-AU"/>
              </w:rPr>
            </w:pPr>
            <w:r w:rsidRPr="0039062A">
              <w:rPr>
                <w:rFonts w:cstheme="minorHAnsi"/>
                <w:color w:val="auto"/>
                <w:szCs w:val="28"/>
                <w:lang w:val="en-AU"/>
              </w:rPr>
              <w:t>Proxy; proxy value; source</w:t>
            </w:r>
          </w:p>
        </w:tc>
        <w:tc>
          <w:tcPr>
            <w:tcW w:w="1701" w:type="dxa"/>
            <w:tcBorders>
              <w:top w:val="single" w:sz="4" w:space="0" w:color="auto"/>
              <w:left w:val="single" w:sz="4" w:space="0" w:color="auto"/>
              <w:bottom w:val="single" w:sz="4" w:space="0" w:color="auto"/>
              <w:right w:val="single" w:sz="4" w:space="0" w:color="auto"/>
            </w:tcBorders>
          </w:tcPr>
          <w:p w14:paraId="48F60941" w14:textId="77777777" w:rsidR="002B5543" w:rsidRPr="0039062A" w:rsidRDefault="002B5543" w:rsidP="00885C85">
            <w:pPr>
              <w:cnfStyle w:val="100000000000" w:firstRow="1" w:lastRow="0" w:firstColumn="0" w:lastColumn="0" w:oddVBand="0" w:evenVBand="0" w:oddHBand="0" w:evenHBand="0" w:firstRowFirstColumn="0" w:firstRowLastColumn="0" w:lastRowFirstColumn="0" w:lastRowLastColumn="0"/>
              <w:rPr>
                <w:rFonts w:cstheme="minorHAnsi"/>
                <w:szCs w:val="28"/>
                <w:lang w:eastAsia="en-GB"/>
              </w:rPr>
            </w:pPr>
            <w:r w:rsidRPr="0039062A">
              <w:rPr>
                <w:rFonts w:cstheme="minorHAnsi"/>
                <w:color w:val="auto"/>
                <w:szCs w:val="28"/>
                <w:lang w:val="en-AU"/>
              </w:rPr>
              <w:t>Assumed change on indicator</w:t>
            </w:r>
          </w:p>
        </w:tc>
        <w:tc>
          <w:tcPr>
            <w:tcW w:w="1134" w:type="dxa"/>
            <w:tcBorders>
              <w:top w:val="single" w:sz="4" w:space="0" w:color="auto"/>
              <w:left w:val="single" w:sz="4" w:space="0" w:color="auto"/>
              <w:bottom w:val="single" w:sz="4" w:space="0" w:color="auto"/>
              <w:right w:val="single" w:sz="4" w:space="0" w:color="auto"/>
            </w:tcBorders>
          </w:tcPr>
          <w:p w14:paraId="21CDD9FB" w14:textId="77777777" w:rsidR="002B5543" w:rsidRPr="0039062A" w:rsidRDefault="002B5543" w:rsidP="00885C85">
            <w:pPr>
              <w:cnfStyle w:val="100000000000" w:firstRow="1" w:lastRow="0" w:firstColumn="0" w:lastColumn="0" w:oddVBand="0" w:evenVBand="0" w:oddHBand="0" w:evenHBand="0" w:firstRowFirstColumn="0" w:firstRowLastColumn="0" w:lastRowFirstColumn="0" w:lastRowLastColumn="0"/>
              <w:rPr>
                <w:rFonts w:cstheme="minorHAnsi"/>
                <w:color w:val="auto"/>
                <w:szCs w:val="28"/>
                <w:lang w:val="en-AU"/>
              </w:rPr>
            </w:pPr>
            <w:r w:rsidRPr="0039062A">
              <w:rPr>
                <w:rFonts w:cstheme="minorHAnsi"/>
                <w:color w:val="auto"/>
                <w:szCs w:val="28"/>
                <w:lang w:val="en-AU"/>
              </w:rPr>
              <w:t>Value of change (per year)</w:t>
            </w:r>
          </w:p>
        </w:tc>
        <w:tc>
          <w:tcPr>
            <w:tcW w:w="1559" w:type="dxa"/>
            <w:tcBorders>
              <w:top w:val="single" w:sz="4" w:space="0" w:color="auto"/>
              <w:left w:val="single" w:sz="4" w:space="0" w:color="auto"/>
              <w:bottom w:val="single" w:sz="4" w:space="0" w:color="auto"/>
              <w:right w:val="single" w:sz="4" w:space="0" w:color="auto"/>
            </w:tcBorders>
          </w:tcPr>
          <w:p w14:paraId="71304414" w14:textId="0E20FA0E" w:rsidR="002B5543" w:rsidRPr="0039062A" w:rsidRDefault="002B5543" w:rsidP="00885C85">
            <w:pPr>
              <w:cnfStyle w:val="100000000000" w:firstRow="1" w:lastRow="0" w:firstColumn="0" w:lastColumn="0" w:oddVBand="0" w:evenVBand="0" w:oddHBand="0" w:evenHBand="0" w:firstRowFirstColumn="0" w:firstRowLastColumn="0" w:lastRowFirstColumn="0" w:lastRowLastColumn="0"/>
              <w:rPr>
                <w:rFonts w:cstheme="minorHAnsi"/>
                <w:szCs w:val="28"/>
                <w:lang w:eastAsia="en-GB"/>
              </w:rPr>
            </w:pPr>
            <w:r w:rsidRPr="0039062A">
              <w:rPr>
                <w:rFonts w:cstheme="minorHAnsi"/>
                <w:color w:val="auto"/>
                <w:szCs w:val="28"/>
                <w:lang w:val="en-AU"/>
              </w:rPr>
              <w:t>Proportion of service users likely to experience outcome</w:t>
            </w:r>
          </w:p>
        </w:tc>
        <w:tc>
          <w:tcPr>
            <w:tcW w:w="1984" w:type="dxa"/>
            <w:tcBorders>
              <w:top w:val="single" w:sz="4" w:space="0" w:color="auto"/>
              <w:left w:val="single" w:sz="4" w:space="0" w:color="auto"/>
              <w:bottom w:val="single" w:sz="4" w:space="0" w:color="auto"/>
              <w:right w:val="single" w:sz="4" w:space="0" w:color="auto"/>
            </w:tcBorders>
          </w:tcPr>
          <w:p w14:paraId="63B0A18F" w14:textId="28731345" w:rsidR="002B5543" w:rsidRPr="0039062A" w:rsidRDefault="002B5543" w:rsidP="00885C85">
            <w:pPr>
              <w:cnfStyle w:val="100000000000" w:firstRow="1" w:lastRow="0" w:firstColumn="0" w:lastColumn="0" w:oddVBand="0" w:evenVBand="0" w:oddHBand="0" w:evenHBand="0" w:firstRowFirstColumn="0" w:firstRowLastColumn="0" w:lastRowFirstColumn="0" w:lastRowLastColumn="0"/>
              <w:rPr>
                <w:rFonts w:cstheme="minorHAnsi"/>
                <w:szCs w:val="28"/>
                <w:lang w:eastAsia="en-GB"/>
              </w:rPr>
            </w:pPr>
            <w:r w:rsidRPr="0039062A">
              <w:rPr>
                <w:rFonts w:cstheme="minorHAnsi"/>
                <w:color w:val="auto"/>
                <w:szCs w:val="28"/>
                <w:lang w:val="en-AU"/>
              </w:rPr>
              <w:t>Evidence to support proportion</w:t>
            </w:r>
          </w:p>
        </w:tc>
        <w:tc>
          <w:tcPr>
            <w:tcW w:w="1701" w:type="dxa"/>
            <w:tcBorders>
              <w:top w:val="single" w:sz="4" w:space="0" w:color="auto"/>
              <w:left w:val="single" w:sz="4" w:space="0" w:color="auto"/>
              <w:bottom w:val="single" w:sz="4" w:space="0" w:color="auto"/>
              <w:right w:val="single" w:sz="4" w:space="0" w:color="auto"/>
            </w:tcBorders>
          </w:tcPr>
          <w:p w14:paraId="1D686499" w14:textId="6E8F9099" w:rsidR="002B5543" w:rsidRPr="000A6006" w:rsidRDefault="002B5543" w:rsidP="00885C85">
            <w:pPr>
              <w:cnfStyle w:val="100000000000" w:firstRow="1" w:lastRow="0" w:firstColumn="0" w:lastColumn="0" w:oddVBand="0" w:evenVBand="0" w:oddHBand="0" w:evenHBand="0" w:firstRowFirstColumn="0" w:firstRowLastColumn="0" w:lastRowFirstColumn="0" w:lastRowLastColumn="0"/>
              <w:rPr>
                <w:color w:val="auto"/>
                <w:szCs w:val="28"/>
                <w:lang w:val="en-AU"/>
              </w:rPr>
            </w:pPr>
            <w:r w:rsidRPr="000A6006">
              <w:rPr>
                <w:color w:val="auto"/>
                <w:szCs w:val="28"/>
                <w:lang w:val="en-AU"/>
              </w:rPr>
              <w:t xml:space="preserve">Assumed proportion of cohort who experience outcome </w:t>
            </w:r>
          </w:p>
        </w:tc>
        <w:tc>
          <w:tcPr>
            <w:tcW w:w="1418" w:type="dxa"/>
            <w:tcBorders>
              <w:top w:val="single" w:sz="4" w:space="0" w:color="auto"/>
              <w:left w:val="single" w:sz="4" w:space="0" w:color="auto"/>
              <w:bottom w:val="single" w:sz="4" w:space="0" w:color="auto"/>
              <w:right w:val="single" w:sz="4" w:space="0" w:color="auto"/>
            </w:tcBorders>
          </w:tcPr>
          <w:p w14:paraId="0A32D32E" w14:textId="059E1A6C" w:rsidR="002B5543" w:rsidRPr="000A6006" w:rsidRDefault="002B5543" w:rsidP="00885C85">
            <w:pPr>
              <w:cnfStyle w:val="100000000000" w:firstRow="1" w:lastRow="0" w:firstColumn="0" w:lastColumn="0" w:oddVBand="0" w:evenVBand="0" w:oddHBand="0" w:evenHBand="0" w:firstRowFirstColumn="0" w:firstRowLastColumn="0" w:lastRowFirstColumn="0" w:lastRowLastColumn="0"/>
              <w:rPr>
                <w:color w:val="auto"/>
                <w:szCs w:val="28"/>
                <w:lang w:val="en-AU"/>
              </w:rPr>
            </w:pPr>
            <w:r w:rsidRPr="000A6006">
              <w:rPr>
                <w:color w:val="auto"/>
                <w:szCs w:val="28"/>
                <w:lang w:val="en-AU"/>
              </w:rPr>
              <w:t>£ value (to nearest £)</w:t>
            </w:r>
          </w:p>
        </w:tc>
      </w:tr>
      <w:tr w:rsidR="002B5543" w14:paraId="7467974B" w14:textId="77777777" w:rsidTr="00390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9" w:type="dxa"/>
            <w:gridSpan w:val="9"/>
            <w:tcBorders>
              <w:top w:val="single" w:sz="4" w:space="0" w:color="auto"/>
              <w:left w:val="single" w:sz="4" w:space="0" w:color="auto"/>
              <w:bottom w:val="single" w:sz="4" w:space="0" w:color="auto"/>
              <w:right w:val="single" w:sz="4" w:space="0" w:color="auto"/>
            </w:tcBorders>
            <w:shd w:val="clear" w:color="auto" w:fill="C0DEE0" w:themeFill="accent2" w:themeFillShade="E6"/>
          </w:tcPr>
          <w:p w14:paraId="43E99E38" w14:textId="52A668FB" w:rsidR="002B5543" w:rsidRPr="000A6006" w:rsidRDefault="002B5543" w:rsidP="00885C85">
            <w:pPr>
              <w:rPr>
                <w:rFonts w:cstheme="minorHAnsi"/>
                <w:b w:val="0"/>
                <w:szCs w:val="28"/>
              </w:rPr>
            </w:pPr>
            <w:r w:rsidRPr="000A6006">
              <w:rPr>
                <w:rFonts w:cstheme="minorHAnsi"/>
                <w:szCs w:val="28"/>
                <w:lang w:val="en-AU"/>
              </w:rPr>
              <w:t xml:space="preserve">Impact Area Three: Emotional Wellbeing </w:t>
            </w:r>
          </w:p>
        </w:tc>
      </w:tr>
      <w:tr w:rsidR="002B5543" w14:paraId="050552DC" w14:textId="77777777" w:rsidTr="000A6006">
        <w:tc>
          <w:tcPr>
            <w:cnfStyle w:val="001000000000" w:firstRow="0" w:lastRow="0" w:firstColumn="1" w:lastColumn="0" w:oddVBand="0" w:evenVBand="0" w:oddHBand="0" w:evenHBand="0" w:firstRowFirstColumn="0" w:firstRowLastColumn="0" w:lastRowFirstColumn="0" w:lastRowLastColumn="0"/>
            <w:tcW w:w="1408" w:type="dxa"/>
            <w:tcBorders>
              <w:top w:val="single" w:sz="4" w:space="0" w:color="auto"/>
              <w:left w:val="single" w:sz="4" w:space="0" w:color="auto"/>
              <w:bottom w:val="single" w:sz="4" w:space="0" w:color="auto"/>
              <w:right w:val="single" w:sz="4" w:space="0" w:color="auto"/>
            </w:tcBorders>
          </w:tcPr>
          <w:p w14:paraId="47D5C475" w14:textId="77777777" w:rsidR="002B5543" w:rsidRPr="0039062A" w:rsidRDefault="002B5543" w:rsidP="00885C85">
            <w:pPr>
              <w:rPr>
                <w:rFonts w:cstheme="minorHAnsi"/>
                <w:szCs w:val="28"/>
                <w:lang w:eastAsia="en-GB"/>
              </w:rPr>
            </w:pPr>
            <w:r w:rsidRPr="0039062A">
              <w:rPr>
                <w:rFonts w:cstheme="minorHAnsi"/>
                <w:szCs w:val="28"/>
                <w:lang w:val="en-AU"/>
              </w:rPr>
              <w:t>c.  Increased feelings of dignity (esp. re eating)</w:t>
            </w:r>
          </w:p>
        </w:tc>
        <w:tc>
          <w:tcPr>
            <w:tcW w:w="1559" w:type="dxa"/>
            <w:tcBorders>
              <w:top w:val="single" w:sz="4" w:space="0" w:color="auto"/>
              <w:left w:val="single" w:sz="4" w:space="0" w:color="auto"/>
              <w:bottom w:val="single" w:sz="4" w:space="0" w:color="auto"/>
              <w:right w:val="single" w:sz="4" w:space="0" w:color="auto"/>
            </w:tcBorders>
          </w:tcPr>
          <w:p w14:paraId="6EDEAA0C" w14:textId="77777777" w:rsidR="002B5543" w:rsidRPr="0039062A" w:rsidRDefault="002B5543" w:rsidP="00885C85">
            <w:pPr>
              <w:cnfStyle w:val="000000000000" w:firstRow="0" w:lastRow="0" w:firstColumn="0" w:lastColumn="0" w:oddVBand="0" w:evenVBand="0" w:oddHBand="0" w:evenHBand="0" w:firstRowFirstColumn="0" w:firstRowLastColumn="0" w:lastRowFirstColumn="0" w:lastRowLastColumn="0"/>
              <w:rPr>
                <w:rFonts w:cstheme="minorHAnsi"/>
                <w:szCs w:val="28"/>
                <w:lang w:eastAsia="en-GB"/>
              </w:rPr>
            </w:pPr>
            <w:r w:rsidRPr="0039062A">
              <w:rPr>
                <w:rFonts w:cstheme="minorHAnsi"/>
                <w:szCs w:val="28"/>
                <w:lang w:val="en-AU"/>
              </w:rPr>
              <w:t>Increased incidence of eating outside of the home</w:t>
            </w:r>
          </w:p>
        </w:tc>
        <w:tc>
          <w:tcPr>
            <w:tcW w:w="1985" w:type="dxa"/>
            <w:tcBorders>
              <w:top w:val="single" w:sz="4" w:space="0" w:color="auto"/>
              <w:left w:val="single" w:sz="4" w:space="0" w:color="auto"/>
              <w:bottom w:val="single" w:sz="4" w:space="0" w:color="auto"/>
              <w:right w:val="single" w:sz="4" w:space="0" w:color="auto"/>
            </w:tcBorders>
          </w:tcPr>
          <w:p w14:paraId="6F2E7DA0" w14:textId="77777777" w:rsidR="002B5543" w:rsidRPr="0039062A" w:rsidRDefault="002B5543" w:rsidP="00885C85">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Cost of a meal out</w:t>
            </w:r>
          </w:p>
          <w:p w14:paraId="65965949" w14:textId="77777777" w:rsidR="002B5543" w:rsidRPr="0039062A" w:rsidRDefault="002B5543" w:rsidP="00885C85">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£15 per meal</w:t>
            </w:r>
          </w:p>
          <w:p w14:paraId="53EC3097" w14:textId="77777777" w:rsidR="002B5543" w:rsidRPr="0039062A" w:rsidRDefault="002B5543" w:rsidP="00885C85">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 xml:space="preserve">Assumed on London prices i.e. pub/restaurant </w:t>
            </w:r>
          </w:p>
          <w:p w14:paraId="2711005A" w14:textId="77777777" w:rsidR="002B5543" w:rsidRPr="0039062A" w:rsidRDefault="002B5543" w:rsidP="00885C85">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Primary research with service users found the outcome of dignity to be often linked by service users to mealtimes and eating and therefore we have selected increased incidence of eating outside the home as an indicator for this outcome and the cost of a meal out as the proxy.</w:t>
            </w:r>
          </w:p>
        </w:tc>
        <w:tc>
          <w:tcPr>
            <w:tcW w:w="1701" w:type="dxa"/>
            <w:tcBorders>
              <w:top w:val="single" w:sz="4" w:space="0" w:color="auto"/>
              <w:left w:val="single" w:sz="4" w:space="0" w:color="auto"/>
              <w:bottom w:val="single" w:sz="4" w:space="0" w:color="auto"/>
              <w:right w:val="single" w:sz="4" w:space="0" w:color="auto"/>
            </w:tcBorders>
          </w:tcPr>
          <w:p w14:paraId="52473AF6" w14:textId="77777777" w:rsidR="002B5543" w:rsidRPr="0039062A" w:rsidRDefault="002B5543" w:rsidP="00885C85">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One additional meal out per fortnight</w:t>
            </w:r>
          </w:p>
          <w:p w14:paraId="11ADC709" w14:textId="77777777" w:rsidR="002B5543" w:rsidRPr="0039062A" w:rsidRDefault="002B5543" w:rsidP="00885C85">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This is a conservative estimate of the frequency with which a person may go out to eat.</w:t>
            </w:r>
          </w:p>
          <w:p w14:paraId="52B96BAD" w14:textId="77777777" w:rsidR="002B5543" w:rsidRPr="0039062A" w:rsidRDefault="002B5543" w:rsidP="00885C85">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p>
        </w:tc>
        <w:tc>
          <w:tcPr>
            <w:tcW w:w="1134" w:type="dxa"/>
            <w:tcBorders>
              <w:top w:val="single" w:sz="4" w:space="0" w:color="auto"/>
              <w:left w:val="single" w:sz="4" w:space="0" w:color="auto"/>
              <w:bottom w:val="single" w:sz="4" w:space="0" w:color="auto"/>
              <w:right w:val="single" w:sz="4" w:space="0" w:color="auto"/>
            </w:tcBorders>
          </w:tcPr>
          <w:p w14:paraId="2E64A9A9" w14:textId="77777777" w:rsidR="002B5543" w:rsidRPr="0039062A" w:rsidRDefault="002B5543" w:rsidP="00885C85">
            <w:pPr>
              <w:cnfStyle w:val="000000000000" w:firstRow="0" w:lastRow="0" w:firstColumn="0" w:lastColumn="0" w:oddVBand="0" w:evenVBand="0" w:oddHBand="0" w:evenHBand="0" w:firstRowFirstColumn="0" w:firstRowLastColumn="0" w:lastRowFirstColumn="0" w:lastRowLastColumn="0"/>
              <w:rPr>
                <w:rFonts w:cstheme="minorHAnsi"/>
                <w:szCs w:val="28"/>
                <w:lang w:eastAsia="en-GB"/>
              </w:rPr>
            </w:pPr>
            <w:r w:rsidRPr="0039062A">
              <w:rPr>
                <w:rFonts w:cstheme="minorHAnsi"/>
                <w:szCs w:val="28"/>
                <w:lang w:eastAsia="en-GB"/>
              </w:rPr>
              <w:t>£390</w:t>
            </w:r>
          </w:p>
        </w:tc>
        <w:tc>
          <w:tcPr>
            <w:tcW w:w="1559" w:type="dxa"/>
            <w:tcBorders>
              <w:top w:val="single" w:sz="4" w:space="0" w:color="auto"/>
              <w:left w:val="single" w:sz="4" w:space="0" w:color="auto"/>
              <w:bottom w:val="single" w:sz="4" w:space="0" w:color="auto"/>
              <w:right w:val="single" w:sz="4" w:space="0" w:color="auto"/>
            </w:tcBorders>
          </w:tcPr>
          <w:p w14:paraId="66CD7BC1" w14:textId="653872AB" w:rsidR="002B5543" w:rsidRPr="0039062A" w:rsidRDefault="002B5543" w:rsidP="00885C85">
            <w:pPr>
              <w:cnfStyle w:val="000000000000" w:firstRow="0" w:lastRow="0" w:firstColumn="0" w:lastColumn="0" w:oddVBand="0" w:evenVBand="0" w:oddHBand="0" w:evenHBand="0" w:firstRowFirstColumn="0" w:firstRowLastColumn="0" w:lastRowFirstColumn="0" w:lastRowLastColumn="0"/>
              <w:rPr>
                <w:rFonts w:cstheme="minorHAnsi"/>
                <w:szCs w:val="28"/>
                <w:lang w:eastAsia="en-GB"/>
              </w:rPr>
            </w:pPr>
            <w:r w:rsidRPr="0039062A">
              <w:rPr>
                <w:rFonts w:cstheme="minorHAnsi"/>
                <w:szCs w:val="28"/>
                <w:lang w:val="en-AU"/>
              </w:rPr>
              <w:t>83% of 702</w:t>
            </w:r>
          </w:p>
        </w:tc>
        <w:tc>
          <w:tcPr>
            <w:tcW w:w="1984" w:type="dxa"/>
            <w:tcBorders>
              <w:top w:val="single" w:sz="4" w:space="0" w:color="auto"/>
              <w:left w:val="single" w:sz="4" w:space="0" w:color="auto"/>
              <w:bottom w:val="single" w:sz="4" w:space="0" w:color="auto"/>
              <w:right w:val="single" w:sz="4" w:space="0" w:color="auto"/>
            </w:tcBorders>
          </w:tcPr>
          <w:p w14:paraId="74118043" w14:textId="77777777" w:rsidR="002B5543" w:rsidRPr="0039062A" w:rsidRDefault="002B5543" w:rsidP="00885C85">
            <w:pPr>
              <w:cnfStyle w:val="000000000000" w:firstRow="0" w:lastRow="0" w:firstColumn="0" w:lastColumn="0" w:oddVBand="0" w:evenVBand="0" w:oddHBand="0" w:evenHBand="0" w:firstRowFirstColumn="0" w:firstRowLastColumn="0" w:lastRowFirstColumn="0" w:lastRowLastColumn="0"/>
              <w:rPr>
                <w:rFonts w:cstheme="minorHAnsi"/>
                <w:szCs w:val="28"/>
                <w:lang w:eastAsia="en-GB"/>
              </w:rPr>
            </w:pPr>
            <w:r w:rsidRPr="0039062A">
              <w:rPr>
                <w:rFonts w:cstheme="minorHAnsi"/>
                <w:szCs w:val="28"/>
                <w:lang w:val="en-AU"/>
              </w:rPr>
              <w:t xml:space="preserve">Service users who spoke about this outcome were more likely to be in the older age group i.e. over 65. </w:t>
            </w:r>
          </w:p>
        </w:tc>
        <w:tc>
          <w:tcPr>
            <w:tcW w:w="1701" w:type="dxa"/>
            <w:tcBorders>
              <w:top w:val="single" w:sz="4" w:space="0" w:color="auto"/>
              <w:left w:val="single" w:sz="4" w:space="0" w:color="auto"/>
              <w:bottom w:val="single" w:sz="4" w:space="0" w:color="auto"/>
              <w:right w:val="single" w:sz="4" w:space="0" w:color="auto"/>
            </w:tcBorders>
          </w:tcPr>
          <w:p w14:paraId="64C49F3B" w14:textId="77777777" w:rsidR="002B5543" w:rsidRPr="000A6006" w:rsidRDefault="002B5543" w:rsidP="00BB351C">
            <w:pPr>
              <w:cnfStyle w:val="000000000000" w:firstRow="0" w:lastRow="0" w:firstColumn="0" w:lastColumn="0" w:oddVBand="0" w:evenVBand="0" w:oddHBand="0" w:evenHBand="0" w:firstRowFirstColumn="0" w:firstRowLastColumn="0" w:lastRowFirstColumn="0" w:lastRowLastColumn="0"/>
              <w:rPr>
                <w:szCs w:val="28"/>
              </w:rPr>
            </w:pPr>
            <w:r w:rsidRPr="000A6006">
              <w:rPr>
                <w:szCs w:val="28"/>
              </w:rPr>
              <w:t>10%</w:t>
            </w:r>
          </w:p>
          <w:p w14:paraId="1B890B83" w14:textId="661D7445" w:rsidR="002B5543" w:rsidRPr="000A6006" w:rsidRDefault="002B5543" w:rsidP="00BB351C">
            <w:pPr>
              <w:cnfStyle w:val="000000000000" w:firstRow="0" w:lastRow="0" w:firstColumn="0" w:lastColumn="0" w:oddVBand="0" w:evenVBand="0" w:oddHBand="0" w:evenHBand="0" w:firstRowFirstColumn="0" w:firstRowLastColumn="0" w:lastRowFirstColumn="0" w:lastRowLastColumn="0"/>
              <w:rPr>
                <w:b/>
                <w:szCs w:val="28"/>
                <w:highlight w:val="yellow"/>
              </w:rPr>
            </w:pPr>
            <w:r w:rsidRPr="000A6006">
              <w:rPr>
                <w:szCs w:val="28"/>
              </w:rPr>
              <w:t>(Quartile approach)</w:t>
            </w:r>
          </w:p>
        </w:tc>
        <w:tc>
          <w:tcPr>
            <w:tcW w:w="1418" w:type="dxa"/>
            <w:tcBorders>
              <w:top w:val="single" w:sz="4" w:space="0" w:color="auto"/>
              <w:left w:val="single" w:sz="4" w:space="0" w:color="auto"/>
              <w:bottom w:val="single" w:sz="4" w:space="0" w:color="auto"/>
              <w:right w:val="single" w:sz="4" w:space="0" w:color="auto"/>
            </w:tcBorders>
          </w:tcPr>
          <w:p w14:paraId="5E7292C8" w14:textId="25469117" w:rsidR="002B5543" w:rsidRPr="000A6006" w:rsidRDefault="002B5543" w:rsidP="00885C85">
            <w:pPr>
              <w:cnfStyle w:val="000000000000" w:firstRow="0" w:lastRow="0" w:firstColumn="0" w:lastColumn="0" w:oddVBand="0" w:evenVBand="0" w:oddHBand="0" w:evenHBand="0" w:firstRowFirstColumn="0" w:firstRowLastColumn="0" w:lastRowFirstColumn="0" w:lastRowLastColumn="0"/>
              <w:rPr>
                <w:b/>
                <w:szCs w:val="28"/>
              </w:rPr>
            </w:pPr>
            <w:r w:rsidRPr="000A6006">
              <w:rPr>
                <w:b/>
                <w:szCs w:val="28"/>
              </w:rPr>
              <w:t>£22,724</w:t>
            </w:r>
          </w:p>
          <w:p w14:paraId="6C75FA04" w14:textId="77777777" w:rsidR="002B5543" w:rsidRPr="000A6006" w:rsidRDefault="002B5543" w:rsidP="00885C85">
            <w:pPr>
              <w:cnfStyle w:val="000000000000" w:firstRow="0" w:lastRow="0" w:firstColumn="0" w:lastColumn="0" w:oddVBand="0" w:evenVBand="0" w:oddHBand="0" w:evenHBand="0" w:firstRowFirstColumn="0" w:firstRowLastColumn="0" w:lastRowFirstColumn="0" w:lastRowLastColumn="0"/>
              <w:rPr>
                <w:szCs w:val="28"/>
                <w:highlight w:val="yellow"/>
                <w:lang w:eastAsia="en-GB"/>
              </w:rPr>
            </w:pPr>
          </w:p>
        </w:tc>
      </w:tr>
      <w:tr w:rsidR="002B5543" w:rsidRPr="00880525" w14:paraId="547DB2E4" w14:textId="77777777" w:rsidTr="0036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Borders>
              <w:top w:val="single" w:sz="4" w:space="0" w:color="auto"/>
              <w:left w:val="single" w:sz="4" w:space="0" w:color="auto"/>
              <w:bottom w:val="single" w:sz="4" w:space="0" w:color="auto"/>
              <w:right w:val="single" w:sz="4" w:space="0" w:color="auto"/>
            </w:tcBorders>
          </w:tcPr>
          <w:p w14:paraId="38486883" w14:textId="77777777" w:rsidR="002B5543" w:rsidRPr="0039062A" w:rsidRDefault="002B5543" w:rsidP="00885C85">
            <w:pPr>
              <w:rPr>
                <w:rFonts w:cstheme="minorHAnsi"/>
                <w:szCs w:val="28"/>
                <w:lang w:val="en-AU"/>
              </w:rPr>
            </w:pPr>
            <w:r w:rsidRPr="0039062A">
              <w:rPr>
                <w:rFonts w:cstheme="minorHAnsi"/>
                <w:szCs w:val="28"/>
                <w:lang w:val="en-AU"/>
              </w:rPr>
              <w:t>d. Increased levels of enjoyment in leisure time</w:t>
            </w:r>
          </w:p>
        </w:tc>
        <w:tc>
          <w:tcPr>
            <w:tcW w:w="1559" w:type="dxa"/>
            <w:tcBorders>
              <w:top w:val="single" w:sz="4" w:space="0" w:color="auto"/>
              <w:left w:val="single" w:sz="4" w:space="0" w:color="auto"/>
              <w:bottom w:val="single" w:sz="4" w:space="0" w:color="auto"/>
              <w:right w:val="single" w:sz="4" w:space="0" w:color="auto"/>
            </w:tcBorders>
          </w:tcPr>
          <w:p w14:paraId="4CDE31F8" w14:textId="77777777" w:rsidR="002B5543" w:rsidRPr="0039062A" w:rsidRDefault="002B5543" w:rsidP="00885C85">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Increased time spent reading or watching films for enjoyment</w:t>
            </w:r>
          </w:p>
        </w:tc>
        <w:tc>
          <w:tcPr>
            <w:tcW w:w="1985" w:type="dxa"/>
            <w:tcBorders>
              <w:top w:val="single" w:sz="4" w:space="0" w:color="auto"/>
              <w:left w:val="single" w:sz="4" w:space="0" w:color="auto"/>
              <w:bottom w:val="single" w:sz="4" w:space="0" w:color="auto"/>
              <w:right w:val="single" w:sz="4" w:space="0" w:color="auto"/>
            </w:tcBorders>
          </w:tcPr>
          <w:p w14:paraId="032FE2C5" w14:textId="77777777" w:rsidR="002B5543" w:rsidRPr="0039062A" w:rsidRDefault="002B5543" w:rsidP="00885C85">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Cost of a book/DVD</w:t>
            </w:r>
          </w:p>
          <w:p w14:paraId="5F1B53B7" w14:textId="77777777" w:rsidR="002B5543" w:rsidRPr="0039062A" w:rsidRDefault="002B5543" w:rsidP="00885C85">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Assumed average cost of book or DVD is £10</w:t>
            </w:r>
          </w:p>
          <w:p w14:paraId="36677D82" w14:textId="77777777" w:rsidR="002B5543" w:rsidRPr="0039062A" w:rsidRDefault="002B5543" w:rsidP="00885C85">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Primary research with service users found the outcome increased enjoyment of leisure time to be often linked by service users to watching TV, doing crosswords or being able to read again and therefore we have selected increased time spent reading or watching films as an indicator for the outcome and the purchase of books and DVDs as a financial proxy for this.</w:t>
            </w:r>
          </w:p>
        </w:tc>
        <w:tc>
          <w:tcPr>
            <w:tcW w:w="1701" w:type="dxa"/>
            <w:tcBorders>
              <w:top w:val="single" w:sz="4" w:space="0" w:color="auto"/>
              <w:left w:val="single" w:sz="4" w:space="0" w:color="auto"/>
              <w:bottom w:val="single" w:sz="4" w:space="0" w:color="auto"/>
              <w:right w:val="single" w:sz="4" w:space="0" w:color="auto"/>
            </w:tcBorders>
          </w:tcPr>
          <w:p w14:paraId="3B46AF88" w14:textId="77777777" w:rsidR="002B5543" w:rsidRPr="0039062A" w:rsidRDefault="002B5543" w:rsidP="00885C85">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Assumes one additional purchase per month for one year</w:t>
            </w:r>
          </w:p>
        </w:tc>
        <w:tc>
          <w:tcPr>
            <w:tcW w:w="1134" w:type="dxa"/>
            <w:tcBorders>
              <w:top w:val="single" w:sz="4" w:space="0" w:color="auto"/>
              <w:left w:val="single" w:sz="4" w:space="0" w:color="auto"/>
              <w:bottom w:val="single" w:sz="4" w:space="0" w:color="auto"/>
              <w:right w:val="single" w:sz="4" w:space="0" w:color="auto"/>
            </w:tcBorders>
          </w:tcPr>
          <w:p w14:paraId="21C8BCF0" w14:textId="77777777" w:rsidR="002B5543" w:rsidRPr="0039062A" w:rsidRDefault="002B5543" w:rsidP="00885C85">
            <w:pPr>
              <w:cnfStyle w:val="000000100000" w:firstRow="0" w:lastRow="0" w:firstColumn="0" w:lastColumn="0" w:oddVBand="0" w:evenVBand="0" w:oddHBand="1" w:evenHBand="0" w:firstRowFirstColumn="0" w:firstRowLastColumn="0" w:lastRowFirstColumn="0" w:lastRowLastColumn="0"/>
              <w:rPr>
                <w:rFonts w:cstheme="minorHAnsi"/>
                <w:szCs w:val="28"/>
                <w:lang w:eastAsia="en-GB"/>
              </w:rPr>
            </w:pPr>
          </w:p>
        </w:tc>
        <w:tc>
          <w:tcPr>
            <w:tcW w:w="1559" w:type="dxa"/>
            <w:tcBorders>
              <w:top w:val="single" w:sz="4" w:space="0" w:color="auto"/>
              <w:left w:val="single" w:sz="4" w:space="0" w:color="auto"/>
              <w:bottom w:val="single" w:sz="4" w:space="0" w:color="auto"/>
              <w:right w:val="single" w:sz="4" w:space="0" w:color="auto"/>
            </w:tcBorders>
          </w:tcPr>
          <w:p w14:paraId="2D05166F" w14:textId="09F67F7E" w:rsidR="002B5543" w:rsidRPr="0039062A" w:rsidRDefault="002B5543" w:rsidP="00885C85">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50% of 702</w:t>
            </w:r>
          </w:p>
        </w:tc>
        <w:tc>
          <w:tcPr>
            <w:tcW w:w="1984" w:type="dxa"/>
            <w:tcBorders>
              <w:top w:val="single" w:sz="4" w:space="0" w:color="auto"/>
              <w:left w:val="single" w:sz="4" w:space="0" w:color="auto"/>
              <w:bottom w:val="single" w:sz="4" w:space="0" w:color="auto"/>
              <w:right w:val="single" w:sz="4" w:space="0" w:color="auto"/>
            </w:tcBorders>
          </w:tcPr>
          <w:p w14:paraId="373A7299" w14:textId="77777777" w:rsidR="002B5543" w:rsidRPr="0039062A" w:rsidRDefault="002B5543" w:rsidP="00885C85">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39062A">
              <w:rPr>
                <w:rFonts w:cstheme="minorHAnsi"/>
                <w:szCs w:val="28"/>
                <w:lang w:val="en-AU"/>
              </w:rPr>
              <w:t xml:space="preserve">Using a quartile approach to estimate this proportion -  a proportion of 50% shows what the value of this outcome would be if 50% of service users experience this outcome.  </w:t>
            </w:r>
          </w:p>
        </w:tc>
        <w:tc>
          <w:tcPr>
            <w:tcW w:w="1701" w:type="dxa"/>
            <w:tcBorders>
              <w:top w:val="single" w:sz="4" w:space="0" w:color="auto"/>
              <w:left w:val="single" w:sz="4" w:space="0" w:color="auto"/>
              <w:bottom w:val="single" w:sz="4" w:space="0" w:color="auto"/>
              <w:right w:val="single" w:sz="4" w:space="0" w:color="auto"/>
            </w:tcBorders>
          </w:tcPr>
          <w:p w14:paraId="0D6E756C" w14:textId="77777777" w:rsidR="002B5543" w:rsidRPr="0039062A" w:rsidRDefault="002B5543" w:rsidP="00BB351C">
            <w:pPr>
              <w:cnfStyle w:val="000000100000" w:firstRow="0" w:lastRow="0" w:firstColumn="0" w:lastColumn="0" w:oddVBand="0" w:evenVBand="0" w:oddHBand="1" w:evenHBand="0" w:firstRowFirstColumn="0" w:firstRowLastColumn="0" w:lastRowFirstColumn="0" w:lastRowLastColumn="0"/>
              <w:rPr>
                <w:szCs w:val="28"/>
              </w:rPr>
            </w:pPr>
            <w:r w:rsidRPr="0039062A">
              <w:rPr>
                <w:szCs w:val="28"/>
              </w:rPr>
              <w:t>10%</w:t>
            </w:r>
          </w:p>
          <w:p w14:paraId="47945A44" w14:textId="619B5C71" w:rsidR="002B5543" w:rsidRPr="0039062A" w:rsidRDefault="002B5543" w:rsidP="00BB351C">
            <w:pPr>
              <w:cnfStyle w:val="000000100000" w:firstRow="0" w:lastRow="0" w:firstColumn="0" w:lastColumn="0" w:oddVBand="0" w:evenVBand="0" w:oddHBand="1" w:evenHBand="0" w:firstRowFirstColumn="0" w:firstRowLastColumn="0" w:lastRowFirstColumn="0" w:lastRowLastColumn="0"/>
              <w:rPr>
                <w:b/>
                <w:szCs w:val="28"/>
              </w:rPr>
            </w:pPr>
            <w:r w:rsidRPr="0039062A">
              <w:rPr>
                <w:szCs w:val="28"/>
              </w:rPr>
              <w:t>(Quartile approach)</w:t>
            </w:r>
          </w:p>
        </w:tc>
        <w:tc>
          <w:tcPr>
            <w:tcW w:w="1418" w:type="dxa"/>
            <w:tcBorders>
              <w:top w:val="single" w:sz="4" w:space="0" w:color="auto"/>
              <w:left w:val="single" w:sz="4" w:space="0" w:color="auto"/>
              <w:bottom w:val="single" w:sz="4" w:space="0" w:color="auto"/>
              <w:right w:val="single" w:sz="4" w:space="0" w:color="auto"/>
            </w:tcBorders>
          </w:tcPr>
          <w:p w14:paraId="584B1BFE" w14:textId="7705C929" w:rsidR="002B5543" w:rsidRPr="0039062A" w:rsidRDefault="002B5543" w:rsidP="00885C85">
            <w:pPr>
              <w:cnfStyle w:val="000000100000" w:firstRow="0" w:lastRow="0" w:firstColumn="0" w:lastColumn="0" w:oddVBand="0" w:evenVBand="0" w:oddHBand="1" w:evenHBand="0" w:firstRowFirstColumn="0" w:firstRowLastColumn="0" w:lastRowFirstColumn="0" w:lastRowLastColumn="0"/>
              <w:rPr>
                <w:b/>
                <w:szCs w:val="28"/>
              </w:rPr>
            </w:pPr>
            <w:r w:rsidRPr="0039062A">
              <w:rPr>
                <w:b/>
                <w:szCs w:val="28"/>
              </w:rPr>
              <w:t>£4,212</w:t>
            </w:r>
          </w:p>
        </w:tc>
      </w:tr>
      <w:tr w:rsidR="002B5543" w:rsidRPr="00361C02" w14:paraId="3D79F119" w14:textId="77777777" w:rsidTr="000A6006">
        <w:tc>
          <w:tcPr>
            <w:cnfStyle w:val="001000000000" w:firstRow="0" w:lastRow="0" w:firstColumn="1" w:lastColumn="0" w:oddVBand="0" w:evenVBand="0" w:oddHBand="0" w:evenHBand="0" w:firstRowFirstColumn="0" w:firstRowLastColumn="0" w:lastRowFirstColumn="0" w:lastRowLastColumn="0"/>
            <w:tcW w:w="1408" w:type="dxa"/>
            <w:tcBorders>
              <w:top w:val="single" w:sz="4" w:space="0" w:color="auto"/>
              <w:left w:val="single" w:sz="4" w:space="0" w:color="auto"/>
              <w:bottom w:val="single" w:sz="4" w:space="0" w:color="auto"/>
              <w:right w:val="single" w:sz="4" w:space="0" w:color="auto"/>
            </w:tcBorders>
          </w:tcPr>
          <w:p w14:paraId="7544C9F0" w14:textId="77777777" w:rsidR="002B5543" w:rsidRPr="0039062A" w:rsidRDefault="002B5543" w:rsidP="00885C85">
            <w:pPr>
              <w:rPr>
                <w:rFonts w:cstheme="minorHAnsi"/>
                <w:szCs w:val="28"/>
                <w:lang w:val="en-AU"/>
              </w:rPr>
            </w:pPr>
            <w:r w:rsidRPr="0039062A">
              <w:rPr>
                <w:rFonts w:cstheme="minorHAnsi"/>
                <w:szCs w:val="28"/>
                <w:lang w:val="en-AU"/>
              </w:rPr>
              <w:t>e. Increased sense or feeling of safety</w:t>
            </w:r>
          </w:p>
        </w:tc>
        <w:tc>
          <w:tcPr>
            <w:tcW w:w="1559" w:type="dxa"/>
            <w:tcBorders>
              <w:top w:val="single" w:sz="4" w:space="0" w:color="auto"/>
              <w:left w:val="single" w:sz="4" w:space="0" w:color="auto"/>
              <w:bottom w:val="single" w:sz="4" w:space="0" w:color="auto"/>
              <w:right w:val="single" w:sz="4" w:space="0" w:color="auto"/>
            </w:tcBorders>
          </w:tcPr>
          <w:p w14:paraId="6B03F8B7" w14:textId="77777777" w:rsidR="002B5543" w:rsidRPr="0039062A" w:rsidRDefault="002B5543" w:rsidP="00885C85">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Cost of personal alarm</w:t>
            </w:r>
          </w:p>
          <w:p w14:paraId="1269807D" w14:textId="77777777" w:rsidR="002B5543" w:rsidRPr="0039062A" w:rsidRDefault="002B5543" w:rsidP="00885C85">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Primary research with service users found increased feelings of safety in the home, linked to the ability to complete tasks independently in the home. We've therefore selected reduced purchase of a personal safety alarm (such as Linkline) for use to alert emergency services of a fall or accident as the indicator for this outcome. The financial proxy is based on the cost of accessing such services.</w:t>
            </w:r>
          </w:p>
        </w:tc>
        <w:tc>
          <w:tcPr>
            <w:tcW w:w="1985" w:type="dxa"/>
            <w:tcBorders>
              <w:top w:val="single" w:sz="4" w:space="0" w:color="auto"/>
              <w:left w:val="single" w:sz="4" w:space="0" w:color="auto"/>
              <w:bottom w:val="single" w:sz="4" w:space="0" w:color="auto"/>
              <w:right w:val="single" w:sz="4" w:space="0" w:color="auto"/>
            </w:tcBorders>
          </w:tcPr>
          <w:p w14:paraId="7473068F" w14:textId="77777777" w:rsidR="002B5543" w:rsidRPr="0039062A" w:rsidRDefault="002B5543" w:rsidP="00885C85">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Personal alarm installation and weekly charge</w:t>
            </w:r>
          </w:p>
          <w:p w14:paraId="7BCFA344" w14:textId="77777777" w:rsidR="002B5543" w:rsidRPr="0039062A" w:rsidRDefault="002B5543" w:rsidP="00885C85">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 xml:space="preserve">£281 per year </w:t>
            </w:r>
          </w:p>
          <w:p w14:paraId="67B769B4" w14:textId="77777777" w:rsidR="002B5543" w:rsidRPr="0039062A" w:rsidRDefault="002B5543" w:rsidP="00885C85">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Age UK. 2015</w:t>
            </w:r>
          </w:p>
        </w:tc>
        <w:tc>
          <w:tcPr>
            <w:tcW w:w="1701" w:type="dxa"/>
            <w:tcBorders>
              <w:top w:val="single" w:sz="4" w:space="0" w:color="auto"/>
              <w:left w:val="single" w:sz="4" w:space="0" w:color="auto"/>
              <w:bottom w:val="single" w:sz="4" w:space="0" w:color="auto"/>
              <w:right w:val="single" w:sz="4" w:space="0" w:color="auto"/>
            </w:tcBorders>
          </w:tcPr>
          <w:p w14:paraId="025EFDEE" w14:textId="77777777" w:rsidR="002B5543" w:rsidRPr="0039062A" w:rsidRDefault="002B5543" w:rsidP="00885C85">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No purchase of personal alarm in the year after vision rehabilitation</w:t>
            </w:r>
          </w:p>
        </w:tc>
        <w:tc>
          <w:tcPr>
            <w:tcW w:w="1134" w:type="dxa"/>
            <w:tcBorders>
              <w:top w:val="single" w:sz="4" w:space="0" w:color="auto"/>
              <w:left w:val="single" w:sz="4" w:space="0" w:color="auto"/>
              <w:bottom w:val="single" w:sz="4" w:space="0" w:color="auto"/>
              <w:right w:val="single" w:sz="4" w:space="0" w:color="auto"/>
            </w:tcBorders>
          </w:tcPr>
          <w:p w14:paraId="11403748" w14:textId="77777777" w:rsidR="002B5543" w:rsidRPr="0039062A" w:rsidRDefault="002B5543" w:rsidP="00885C85">
            <w:pPr>
              <w:cnfStyle w:val="000000000000" w:firstRow="0" w:lastRow="0" w:firstColumn="0" w:lastColumn="0" w:oddVBand="0" w:evenVBand="0" w:oddHBand="0" w:evenHBand="0" w:firstRowFirstColumn="0" w:firstRowLastColumn="0" w:lastRowFirstColumn="0" w:lastRowLastColumn="0"/>
              <w:rPr>
                <w:rFonts w:cstheme="minorHAnsi"/>
                <w:szCs w:val="28"/>
                <w:lang w:eastAsia="en-GB"/>
              </w:rPr>
            </w:pPr>
            <w:r w:rsidRPr="0039062A">
              <w:rPr>
                <w:rFonts w:cstheme="minorHAnsi"/>
                <w:szCs w:val="28"/>
                <w:lang w:eastAsia="en-GB"/>
              </w:rPr>
              <w:t>£281</w:t>
            </w:r>
          </w:p>
        </w:tc>
        <w:tc>
          <w:tcPr>
            <w:tcW w:w="1559" w:type="dxa"/>
            <w:tcBorders>
              <w:top w:val="single" w:sz="4" w:space="0" w:color="auto"/>
              <w:left w:val="single" w:sz="4" w:space="0" w:color="auto"/>
              <w:bottom w:val="single" w:sz="4" w:space="0" w:color="auto"/>
              <w:right w:val="single" w:sz="4" w:space="0" w:color="auto"/>
            </w:tcBorders>
          </w:tcPr>
          <w:p w14:paraId="679571E4" w14:textId="54382DE4" w:rsidR="002B5543" w:rsidRPr="0039062A" w:rsidRDefault="002B5543" w:rsidP="00885C85">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50% of 702</w:t>
            </w:r>
          </w:p>
        </w:tc>
        <w:tc>
          <w:tcPr>
            <w:tcW w:w="1984" w:type="dxa"/>
            <w:tcBorders>
              <w:top w:val="single" w:sz="4" w:space="0" w:color="auto"/>
              <w:left w:val="single" w:sz="4" w:space="0" w:color="auto"/>
              <w:bottom w:val="single" w:sz="4" w:space="0" w:color="auto"/>
              <w:right w:val="single" w:sz="4" w:space="0" w:color="auto"/>
            </w:tcBorders>
          </w:tcPr>
          <w:p w14:paraId="6B3F132A" w14:textId="77777777" w:rsidR="002B5543" w:rsidRPr="0039062A" w:rsidRDefault="002B5543" w:rsidP="00885C85">
            <w:pPr>
              <w:cnfStyle w:val="000000000000" w:firstRow="0" w:lastRow="0" w:firstColumn="0" w:lastColumn="0" w:oddVBand="0" w:evenVBand="0" w:oddHBand="0" w:evenHBand="0" w:firstRowFirstColumn="0" w:firstRowLastColumn="0" w:lastRowFirstColumn="0" w:lastRowLastColumn="0"/>
              <w:rPr>
                <w:rFonts w:cstheme="minorHAnsi"/>
                <w:szCs w:val="28"/>
                <w:lang w:val="en-AU"/>
              </w:rPr>
            </w:pPr>
            <w:r w:rsidRPr="0039062A">
              <w:rPr>
                <w:rFonts w:cstheme="minorHAnsi"/>
                <w:szCs w:val="28"/>
                <w:lang w:val="en-AU"/>
              </w:rPr>
              <w:t xml:space="preserve">Using a quartile approach to estimate this proportion - this 50% figure shows what the value would be if 50% of service users experience this outcome.  </w:t>
            </w:r>
          </w:p>
        </w:tc>
        <w:tc>
          <w:tcPr>
            <w:tcW w:w="1701" w:type="dxa"/>
            <w:tcBorders>
              <w:top w:val="single" w:sz="4" w:space="0" w:color="auto"/>
              <w:left w:val="single" w:sz="4" w:space="0" w:color="auto"/>
              <w:bottom w:val="single" w:sz="4" w:space="0" w:color="auto"/>
              <w:right w:val="single" w:sz="4" w:space="0" w:color="auto"/>
            </w:tcBorders>
          </w:tcPr>
          <w:p w14:paraId="50D50F6D" w14:textId="77777777" w:rsidR="002B5543" w:rsidRPr="000A6006" w:rsidRDefault="002B5543" w:rsidP="00BB351C">
            <w:pPr>
              <w:cnfStyle w:val="000000000000" w:firstRow="0" w:lastRow="0" w:firstColumn="0" w:lastColumn="0" w:oddVBand="0" w:evenVBand="0" w:oddHBand="0" w:evenHBand="0" w:firstRowFirstColumn="0" w:firstRowLastColumn="0" w:lastRowFirstColumn="0" w:lastRowLastColumn="0"/>
              <w:rPr>
                <w:szCs w:val="28"/>
              </w:rPr>
            </w:pPr>
            <w:r w:rsidRPr="000A6006">
              <w:rPr>
                <w:szCs w:val="28"/>
              </w:rPr>
              <w:t>10%</w:t>
            </w:r>
          </w:p>
          <w:p w14:paraId="3D92B60C" w14:textId="18BD9E9F" w:rsidR="002B5543" w:rsidRPr="000A6006" w:rsidRDefault="002B5543" w:rsidP="00BB351C">
            <w:pPr>
              <w:cnfStyle w:val="000000000000" w:firstRow="0" w:lastRow="0" w:firstColumn="0" w:lastColumn="0" w:oddVBand="0" w:evenVBand="0" w:oddHBand="0" w:evenHBand="0" w:firstRowFirstColumn="0" w:firstRowLastColumn="0" w:lastRowFirstColumn="0" w:lastRowLastColumn="0"/>
              <w:rPr>
                <w:b/>
                <w:szCs w:val="28"/>
                <w:highlight w:val="yellow"/>
              </w:rPr>
            </w:pPr>
            <w:r w:rsidRPr="000A6006">
              <w:rPr>
                <w:szCs w:val="28"/>
              </w:rPr>
              <w:t>(Quartile approach)</w:t>
            </w:r>
          </w:p>
        </w:tc>
        <w:tc>
          <w:tcPr>
            <w:tcW w:w="1418" w:type="dxa"/>
            <w:tcBorders>
              <w:top w:val="single" w:sz="4" w:space="0" w:color="auto"/>
              <w:left w:val="single" w:sz="4" w:space="0" w:color="auto"/>
              <w:bottom w:val="single" w:sz="4" w:space="0" w:color="auto"/>
              <w:right w:val="single" w:sz="4" w:space="0" w:color="auto"/>
            </w:tcBorders>
          </w:tcPr>
          <w:p w14:paraId="6DCF1C34" w14:textId="7930F245" w:rsidR="002B5543" w:rsidRPr="00361C02" w:rsidRDefault="002B5543" w:rsidP="00885C85">
            <w:pPr>
              <w:cnfStyle w:val="000000000000" w:firstRow="0" w:lastRow="0" w:firstColumn="0" w:lastColumn="0" w:oddVBand="0" w:evenVBand="0" w:oddHBand="0" w:evenHBand="0" w:firstRowFirstColumn="0" w:firstRowLastColumn="0" w:lastRowFirstColumn="0" w:lastRowLastColumn="0"/>
              <w:rPr>
                <w:b/>
                <w:szCs w:val="28"/>
                <w:highlight w:val="yellow"/>
              </w:rPr>
            </w:pPr>
            <w:r w:rsidRPr="00361C02">
              <w:rPr>
                <w:b/>
                <w:szCs w:val="28"/>
              </w:rPr>
              <w:t>£9,863</w:t>
            </w:r>
          </w:p>
        </w:tc>
      </w:tr>
      <w:tr w:rsidR="00361C02" w:rsidRPr="00361C02" w14:paraId="3D566480" w14:textId="77777777" w:rsidTr="00361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Borders>
              <w:top w:val="single" w:sz="4" w:space="0" w:color="auto"/>
              <w:left w:val="single" w:sz="4" w:space="0" w:color="auto"/>
              <w:bottom w:val="single" w:sz="4" w:space="0" w:color="auto"/>
              <w:right w:val="single" w:sz="4" w:space="0" w:color="auto"/>
            </w:tcBorders>
          </w:tcPr>
          <w:p w14:paraId="259DCF8D" w14:textId="77777777" w:rsidR="002B5543" w:rsidRPr="0039062A" w:rsidRDefault="002B5543" w:rsidP="00885C85">
            <w:pPr>
              <w:rPr>
                <w:rFonts w:cstheme="minorHAnsi"/>
                <w:szCs w:val="28"/>
                <w:lang w:val="en-AU"/>
              </w:rPr>
            </w:pPr>
          </w:p>
        </w:tc>
        <w:tc>
          <w:tcPr>
            <w:tcW w:w="1559" w:type="dxa"/>
            <w:tcBorders>
              <w:top w:val="single" w:sz="4" w:space="0" w:color="auto"/>
              <w:left w:val="single" w:sz="4" w:space="0" w:color="auto"/>
              <w:bottom w:val="single" w:sz="4" w:space="0" w:color="auto"/>
              <w:right w:val="single" w:sz="4" w:space="0" w:color="auto"/>
            </w:tcBorders>
          </w:tcPr>
          <w:p w14:paraId="32302A3E" w14:textId="77777777" w:rsidR="002B5543" w:rsidRPr="0039062A" w:rsidRDefault="002B5543" w:rsidP="00885C85">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p>
        </w:tc>
        <w:tc>
          <w:tcPr>
            <w:tcW w:w="1985" w:type="dxa"/>
            <w:tcBorders>
              <w:top w:val="single" w:sz="4" w:space="0" w:color="auto"/>
              <w:left w:val="single" w:sz="4" w:space="0" w:color="auto"/>
              <w:bottom w:val="single" w:sz="4" w:space="0" w:color="auto"/>
              <w:right w:val="single" w:sz="4" w:space="0" w:color="auto"/>
            </w:tcBorders>
          </w:tcPr>
          <w:p w14:paraId="7CD15414" w14:textId="77777777" w:rsidR="002B5543" w:rsidRPr="0039062A" w:rsidRDefault="002B5543" w:rsidP="00885C85">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p>
        </w:tc>
        <w:tc>
          <w:tcPr>
            <w:tcW w:w="1701" w:type="dxa"/>
            <w:tcBorders>
              <w:top w:val="single" w:sz="4" w:space="0" w:color="auto"/>
              <w:left w:val="single" w:sz="4" w:space="0" w:color="auto"/>
              <w:bottom w:val="single" w:sz="4" w:space="0" w:color="auto"/>
              <w:right w:val="single" w:sz="4" w:space="0" w:color="auto"/>
            </w:tcBorders>
          </w:tcPr>
          <w:p w14:paraId="05936F04" w14:textId="77777777" w:rsidR="002B5543" w:rsidRPr="0039062A" w:rsidRDefault="002B5543" w:rsidP="00885C85">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p>
        </w:tc>
        <w:tc>
          <w:tcPr>
            <w:tcW w:w="1134" w:type="dxa"/>
            <w:tcBorders>
              <w:top w:val="single" w:sz="4" w:space="0" w:color="auto"/>
              <w:left w:val="single" w:sz="4" w:space="0" w:color="auto"/>
              <w:bottom w:val="single" w:sz="4" w:space="0" w:color="auto"/>
              <w:right w:val="single" w:sz="4" w:space="0" w:color="auto"/>
            </w:tcBorders>
          </w:tcPr>
          <w:p w14:paraId="0416A7BA" w14:textId="77777777" w:rsidR="002B5543" w:rsidRPr="0039062A" w:rsidRDefault="002B5543" w:rsidP="00885C85">
            <w:pPr>
              <w:cnfStyle w:val="000000100000" w:firstRow="0" w:lastRow="0" w:firstColumn="0" w:lastColumn="0" w:oddVBand="0" w:evenVBand="0" w:oddHBand="1" w:evenHBand="0" w:firstRowFirstColumn="0" w:firstRowLastColumn="0" w:lastRowFirstColumn="0" w:lastRowLastColumn="0"/>
              <w:rPr>
                <w:rFonts w:cstheme="minorHAnsi"/>
                <w:szCs w:val="28"/>
                <w:lang w:eastAsia="en-GB"/>
              </w:rPr>
            </w:pPr>
          </w:p>
        </w:tc>
        <w:tc>
          <w:tcPr>
            <w:tcW w:w="1559" w:type="dxa"/>
            <w:tcBorders>
              <w:top w:val="single" w:sz="4" w:space="0" w:color="auto"/>
              <w:left w:val="single" w:sz="4" w:space="0" w:color="auto"/>
              <w:bottom w:val="single" w:sz="4" w:space="0" w:color="auto"/>
              <w:right w:val="single" w:sz="4" w:space="0" w:color="auto"/>
            </w:tcBorders>
          </w:tcPr>
          <w:p w14:paraId="742D31AE" w14:textId="77777777" w:rsidR="002B5543" w:rsidRPr="0039062A" w:rsidRDefault="002B5543" w:rsidP="00885C85">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p>
        </w:tc>
        <w:tc>
          <w:tcPr>
            <w:tcW w:w="3685" w:type="dxa"/>
            <w:gridSpan w:val="2"/>
            <w:tcBorders>
              <w:top w:val="single" w:sz="4" w:space="0" w:color="auto"/>
              <w:left w:val="single" w:sz="4" w:space="0" w:color="auto"/>
              <w:bottom w:val="single" w:sz="4" w:space="0" w:color="auto"/>
              <w:right w:val="single" w:sz="4" w:space="0" w:color="auto"/>
            </w:tcBorders>
          </w:tcPr>
          <w:p w14:paraId="67BAE069" w14:textId="7529C48B" w:rsidR="002B5543" w:rsidRPr="0039062A" w:rsidRDefault="002B5543" w:rsidP="00BB351C">
            <w:pPr>
              <w:cnfStyle w:val="000000100000" w:firstRow="0" w:lastRow="0" w:firstColumn="0" w:lastColumn="0" w:oddVBand="0" w:evenVBand="0" w:oddHBand="1" w:evenHBand="0" w:firstRowFirstColumn="0" w:firstRowLastColumn="0" w:lastRowFirstColumn="0" w:lastRowLastColumn="0"/>
              <w:rPr>
                <w:rFonts w:cstheme="minorHAnsi"/>
                <w:szCs w:val="28"/>
              </w:rPr>
            </w:pPr>
            <w:r w:rsidRPr="0039062A">
              <w:rPr>
                <w:rFonts w:cstheme="minorHAnsi"/>
                <w:b/>
                <w:szCs w:val="28"/>
                <w:lang w:val="en-AU"/>
              </w:rPr>
              <w:t>E</w:t>
            </w:r>
            <w:r w:rsidR="00A83202">
              <w:rPr>
                <w:rFonts w:cstheme="minorHAnsi"/>
                <w:b/>
                <w:szCs w:val="28"/>
                <w:lang w:val="en-AU"/>
              </w:rPr>
              <w:t>motional wellbeing total</w:t>
            </w:r>
          </w:p>
        </w:tc>
        <w:tc>
          <w:tcPr>
            <w:tcW w:w="1418" w:type="dxa"/>
            <w:tcBorders>
              <w:top w:val="single" w:sz="4" w:space="0" w:color="auto"/>
              <w:left w:val="single" w:sz="4" w:space="0" w:color="auto"/>
              <w:bottom w:val="single" w:sz="4" w:space="0" w:color="auto"/>
              <w:right w:val="single" w:sz="4" w:space="0" w:color="auto"/>
            </w:tcBorders>
          </w:tcPr>
          <w:p w14:paraId="07400041" w14:textId="2342F4F9" w:rsidR="002B5543" w:rsidRPr="00361C02" w:rsidRDefault="002B5543" w:rsidP="00885C85">
            <w:pPr>
              <w:cnfStyle w:val="000000100000" w:firstRow="0" w:lastRow="0" w:firstColumn="0" w:lastColumn="0" w:oddVBand="0" w:evenVBand="0" w:oddHBand="1" w:evenHBand="0" w:firstRowFirstColumn="0" w:firstRowLastColumn="0" w:lastRowFirstColumn="0" w:lastRowLastColumn="0"/>
              <w:rPr>
                <w:b/>
              </w:rPr>
            </w:pPr>
            <w:r w:rsidRPr="00361C02">
              <w:rPr>
                <w:b/>
              </w:rPr>
              <w:t>£36,799</w:t>
            </w:r>
          </w:p>
        </w:tc>
      </w:tr>
      <w:tr w:rsidR="002B5543" w:rsidRPr="000A6006" w14:paraId="02EE0F57" w14:textId="77777777" w:rsidTr="00361C02">
        <w:tc>
          <w:tcPr>
            <w:cnfStyle w:val="001000000000" w:firstRow="0" w:lastRow="0" w:firstColumn="1" w:lastColumn="0" w:oddVBand="0" w:evenVBand="0" w:oddHBand="0" w:evenHBand="0" w:firstRowFirstColumn="0" w:firstRowLastColumn="0" w:lastRowFirstColumn="0" w:lastRowLastColumn="0"/>
            <w:tcW w:w="14449" w:type="dxa"/>
            <w:gridSpan w:val="9"/>
            <w:tcBorders>
              <w:top w:val="single" w:sz="4" w:space="0" w:color="auto"/>
              <w:left w:val="single" w:sz="4" w:space="0" w:color="auto"/>
              <w:bottom w:val="single" w:sz="4" w:space="0" w:color="auto"/>
              <w:right w:val="single" w:sz="4" w:space="0" w:color="auto"/>
            </w:tcBorders>
            <w:shd w:val="clear" w:color="auto" w:fill="auto"/>
          </w:tcPr>
          <w:p w14:paraId="0FD01C3C" w14:textId="60BAA1E2" w:rsidR="002B5543" w:rsidRPr="000A6006" w:rsidRDefault="002B5543" w:rsidP="00885C85">
            <w:pPr>
              <w:rPr>
                <w:rFonts w:cstheme="minorHAnsi"/>
                <w:szCs w:val="28"/>
                <w:highlight w:val="yellow"/>
                <w:lang w:val="en-AU"/>
              </w:rPr>
            </w:pPr>
            <w:r w:rsidRPr="000A6006">
              <w:rPr>
                <w:rFonts w:cstheme="minorHAnsi"/>
                <w:szCs w:val="28"/>
                <w:lang w:val="en-AU"/>
              </w:rPr>
              <w:t>Outcomes for family/carers: Reduced anxiety about service users</w:t>
            </w:r>
          </w:p>
        </w:tc>
      </w:tr>
      <w:tr w:rsidR="00380E45" w:rsidRPr="000A6006" w14:paraId="42AC0102" w14:textId="77777777" w:rsidTr="00A83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Borders>
              <w:top w:val="single" w:sz="4" w:space="0" w:color="auto"/>
              <w:left w:val="single" w:sz="4" w:space="0" w:color="auto"/>
              <w:bottom w:val="single" w:sz="4" w:space="0" w:color="auto"/>
              <w:right w:val="single" w:sz="4" w:space="0" w:color="auto"/>
            </w:tcBorders>
          </w:tcPr>
          <w:p w14:paraId="01CF28BE" w14:textId="77777777" w:rsidR="002B5543" w:rsidRPr="000A6006" w:rsidRDefault="002B5543" w:rsidP="00885C85">
            <w:pPr>
              <w:rPr>
                <w:rFonts w:cstheme="minorHAnsi"/>
                <w:szCs w:val="28"/>
                <w:lang w:val="en-AU"/>
              </w:rPr>
            </w:pPr>
            <w:r w:rsidRPr="000A6006">
              <w:rPr>
                <w:rFonts w:cstheme="minorHAnsi"/>
                <w:szCs w:val="28"/>
                <w:lang w:val="en-AU"/>
              </w:rPr>
              <w:t>b. Reduced burden of informal care</w:t>
            </w:r>
          </w:p>
        </w:tc>
        <w:tc>
          <w:tcPr>
            <w:tcW w:w="1559" w:type="dxa"/>
            <w:tcBorders>
              <w:top w:val="single" w:sz="4" w:space="0" w:color="auto"/>
              <w:left w:val="single" w:sz="4" w:space="0" w:color="auto"/>
              <w:bottom w:val="single" w:sz="4" w:space="0" w:color="auto"/>
              <w:right w:val="single" w:sz="4" w:space="0" w:color="auto"/>
            </w:tcBorders>
          </w:tcPr>
          <w:p w14:paraId="035AB3FB" w14:textId="77777777" w:rsidR="002B5543" w:rsidRPr="000A6006" w:rsidRDefault="002B5543" w:rsidP="00885C85">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0A6006">
              <w:rPr>
                <w:rFonts w:cstheme="minorHAnsi"/>
                <w:szCs w:val="28"/>
                <w:lang w:val="en-AU"/>
              </w:rPr>
              <w:t>Reduction in loss of income/ pension contributions; costs involved with providing care</w:t>
            </w:r>
          </w:p>
        </w:tc>
        <w:tc>
          <w:tcPr>
            <w:tcW w:w="1985" w:type="dxa"/>
            <w:tcBorders>
              <w:top w:val="single" w:sz="4" w:space="0" w:color="auto"/>
              <w:left w:val="single" w:sz="4" w:space="0" w:color="auto"/>
              <w:bottom w:val="single" w:sz="4" w:space="0" w:color="auto"/>
              <w:right w:val="single" w:sz="4" w:space="0" w:color="auto"/>
            </w:tcBorders>
          </w:tcPr>
          <w:p w14:paraId="49B75C13" w14:textId="77777777" w:rsidR="002B5543" w:rsidRPr="000A6006" w:rsidRDefault="002B5543" w:rsidP="00885C85">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0A6006">
              <w:rPr>
                <w:rFonts w:cstheme="minorHAnsi"/>
                <w:szCs w:val="28"/>
                <w:lang w:val="en-AU"/>
              </w:rPr>
              <w:t>Home care worker costs</w:t>
            </w:r>
          </w:p>
          <w:p w14:paraId="1A542A72" w14:textId="77777777" w:rsidR="002B5543" w:rsidRPr="000A6006" w:rsidRDefault="002B5543" w:rsidP="00885C85">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0A6006">
              <w:rPr>
                <w:rFonts w:cstheme="minorHAnsi"/>
                <w:szCs w:val="28"/>
                <w:lang w:val="en-AU"/>
              </w:rPr>
              <w:t>£240 per week</w:t>
            </w:r>
          </w:p>
          <w:p w14:paraId="29ED2677" w14:textId="77777777" w:rsidR="002B5543" w:rsidRPr="000A6006" w:rsidRDefault="002B5543" w:rsidP="00885C85">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0A6006">
              <w:rPr>
                <w:rFonts w:cstheme="minorHAnsi"/>
                <w:szCs w:val="28"/>
                <w:lang w:val="en-AU"/>
              </w:rPr>
              <w:t xml:space="preserve">Curtis &amp; Burns. 2015. </w:t>
            </w:r>
          </w:p>
          <w:p w14:paraId="09E96EE9" w14:textId="77777777" w:rsidR="002B5543" w:rsidRPr="000A6006" w:rsidRDefault="002B5543" w:rsidP="00885C85">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0A6006">
              <w:rPr>
                <w:rFonts w:cstheme="minorHAnsi"/>
                <w:szCs w:val="28"/>
                <w:lang w:val="en-AU"/>
              </w:rPr>
              <w:t>(Chosen as a proxy for the care given by informal carers/family)</w:t>
            </w:r>
          </w:p>
        </w:tc>
        <w:tc>
          <w:tcPr>
            <w:tcW w:w="1701" w:type="dxa"/>
            <w:tcBorders>
              <w:top w:val="single" w:sz="4" w:space="0" w:color="auto"/>
              <w:left w:val="single" w:sz="4" w:space="0" w:color="auto"/>
              <w:bottom w:val="single" w:sz="4" w:space="0" w:color="auto"/>
              <w:right w:val="single" w:sz="4" w:space="0" w:color="auto"/>
            </w:tcBorders>
          </w:tcPr>
          <w:p w14:paraId="5B50A5A7" w14:textId="77777777" w:rsidR="002B5543" w:rsidRPr="000A6006" w:rsidRDefault="002B5543" w:rsidP="00885C85">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0A6006">
              <w:rPr>
                <w:rFonts w:cstheme="minorHAnsi"/>
                <w:szCs w:val="28"/>
                <w:lang w:val="en-AU"/>
              </w:rPr>
              <w:t xml:space="preserve">Homecare costs deferred for one year. </w:t>
            </w:r>
          </w:p>
          <w:p w14:paraId="3FEFDCAC" w14:textId="77777777" w:rsidR="002B5543" w:rsidRPr="000A6006" w:rsidRDefault="002B5543" w:rsidP="00885C85">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0A6006">
              <w:rPr>
                <w:rFonts w:cstheme="minorHAnsi"/>
                <w:szCs w:val="28"/>
                <w:lang w:val="en-AU"/>
              </w:rPr>
              <w:t xml:space="preserve">The burden of providing informal care is well-studied and impacts include: </w:t>
            </w:r>
          </w:p>
          <w:p w14:paraId="6FF186A0" w14:textId="77777777" w:rsidR="002B5543" w:rsidRPr="000A6006" w:rsidRDefault="002B5543" w:rsidP="00885C85">
            <w:pPr>
              <w:contextualSpacing/>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0A6006">
              <w:rPr>
                <w:rFonts w:cstheme="minorHAnsi"/>
                <w:szCs w:val="28"/>
                <w:lang w:val="en-AU"/>
              </w:rPr>
              <w:t xml:space="preserve">• Loss of income.   </w:t>
            </w:r>
          </w:p>
          <w:p w14:paraId="1FC6A7A8" w14:textId="77777777" w:rsidR="002B5543" w:rsidRPr="000A6006" w:rsidRDefault="002B5543" w:rsidP="00885C85">
            <w:pPr>
              <w:contextualSpacing/>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0A6006">
              <w:rPr>
                <w:rFonts w:cstheme="minorHAnsi"/>
                <w:szCs w:val="28"/>
                <w:lang w:val="en-AU"/>
              </w:rPr>
              <w:t xml:space="preserve">• Additional expenditure. </w:t>
            </w:r>
          </w:p>
          <w:p w14:paraId="231A9181" w14:textId="77777777" w:rsidR="002B5543" w:rsidRPr="000A6006" w:rsidRDefault="002B5543" w:rsidP="00885C85">
            <w:pPr>
              <w:contextualSpacing/>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0A6006">
              <w:rPr>
                <w:rFonts w:cstheme="minorHAnsi"/>
                <w:szCs w:val="28"/>
                <w:lang w:val="en-AU"/>
              </w:rPr>
              <w:t xml:space="preserve">• Disutility. (Including costs such as social exclusion, erosion of personal relationships and adverse effects on health.) </w:t>
            </w:r>
          </w:p>
          <w:p w14:paraId="4D4CC18D" w14:textId="77777777" w:rsidR="002B5543" w:rsidRPr="000A6006" w:rsidRDefault="002B5543" w:rsidP="00885C85">
            <w:pPr>
              <w:contextualSpacing/>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0A6006">
              <w:rPr>
                <w:rFonts w:cstheme="minorHAnsi"/>
                <w:szCs w:val="28"/>
                <w:lang w:val="en-AU"/>
              </w:rPr>
              <w:t xml:space="preserve">• Detriment to pension. </w:t>
            </w:r>
          </w:p>
          <w:p w14:paraId="14AA2733" w14:textId="58A22972" w:rsidR="00BB351C" w:rsidRPr="000A6006" w:rsidRDefault="002B5543" w:rsidP="00885C85">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0A6006">
              <w:rPr>
                <w:rFonts w:cstheme="minorHAnsi"/>
                <w:szCs w:val="28"/>
                <w:lang w:val="en-AU"/>
              </w:rPr>
              <w:t>• Benefit issues [</w:t>
            </w:r>
            <w:r w:rsidRPr="000A6006">
              <w:rPr>
                <w:rStyle w:val="EndnoteReference"/>
                <w:rFonts w:asciiTheme="minorHAnsi" w:hAnsiTheme="minorHAnsi" w:cstheme="minorHAnsi"/>
                <w:szCs w:val="28"/>
              </w:rPr>
              <w:endnoteReference w:id="68"/>
            </w:r>
            <w:r w:rsidRPr="000A6006">
              <w:rPr>
                <w:rFonts w:cstheme="minorHAnsi"/>
                <w:szCs w:val="28"/>
                <w:lang w:val="en-AU"/>
              </w:rPr>
              <w:t>]</w:t>
            </w:r>
            <w:r w:rsidR="00BB351C" w:rsidRPr="000A6006">
              <w:rPr>
                <w:rFonts w:cstheme="minorHAnsi"/>
                <w:szCs w:val="28"/>
                <w:lang w:val="en-AU"/>
              </w:rPr>
              <w:t xml:space="preserve">. </w:t>
            </w:r>
          </w:p>
        </w:tc>
        <w:tc>
          <w:tcPr>
            <w:tcW w:w="1134" w:type="dxa"/>
            <w:tcBorders>
              <w:top w:val="single" w:sz="4" w:space="0" w:color="auto"/>
              <w:left w:val="single" w:sz="4" w:space="0" w:color="auto"/>
              <w:bottom w:val="single" w:sz="4" w:space="0" w:color="auto"/>
              <w:right w:val="single" w:sz="4" w:space="0" w:color="auto"/>
            </w:tcBorders>
          </w:tcPr>
          <w:p w14:paraId="5EAE955C" w14:textId="77777777" w:rsidR="00BB351C" w:rsidRPr="000A6006" w:rsidRDefault="00BB351C" w:rsidP="00885C85">
            <w:pPr>
              <w:cnfStyle w:val="000000100000" w:firstRow="0" w:lastRow="0" w:firstColumn="0" w:lastColumn="0" w:oddVBand="0" w:evenVBand="0" w:oddHBand="1" w:evenHBand="0" w:firstRowFirstColumn="0" w:firstRowLastColumn="0" w:lastRowFirstColumn="0" w:lastRowLastColumn="0"/>
              <w:rPr>
                <w:rFonts w:cstheme="minorHAnsi"/>
                <w:szCs w:val="28"/>
                <w:lang w:eastAsia="en-GB"/>
              </w:rPr>
            </w:pPr>
            <w:r w:rsidRPr="000A6006">
              <w:rPr>
                <w:rFonts w:cstheme="minorHAnsi"/>
                <w:szCs w:val="28"/>
                <w:lang w:val="en-AU"/>
              </w:rPr>
              <w:t>£12,480</w:t>
            </w:r>
          </w:p>
        </w:tc>
        <w:tc>
          <w:tcPr>
            <w:tcW w:w="1559" w:type="dxa"/>
            <w:tcBorders>
              <w:top w:val="single" w:sz="4" w:space="0" w:color="auto"/>
              <w:left w:val="single" w:sz="4" w:space="0" w:color="auto"/>
              <w:bottom w:val="single" w:sz="4" w:space="0" w:color="auto"/>
              <w:right w:val="single" w:sz="4" w:space="0" w:color="auto"/>
            </w:tcBorders>
          </w:tcPr>
          <w:p w14:paraId="6AA4CF59" w14:textId="05A68B6A" w:rsidR="00BB351C" w:rsidRPr="000A6006" w:rsidRDefault="00BB351C" w:rsidP="00885C85">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0A6006">
              <w:rPr>
                <w:rFonts w:cstheme="minorHAnsi"/>
                <w:szCs w:val="28"/>
                <w:lang w:val="en-AU"/>
              </w:rPr>
              <w:t>25%</w:t>
            </w:r>
            <w:r w:rsidR="00F855EA" w:rsidRPr="000A6006">
              <w:rPr>
                <w:rFonts w:cstheme="minorHAnsi"/>
                <w:szCs w:val="28"/>
                <w:lang w:val="en-AU"/>
              </w:rPr>
              <w:t xml:space="preserve"> of 702</w:t>
            </w:r>
          </w:p>
        </w:tc>
        <w:tc>
          <w:tcPr>
            <w:tcW w:w="1984" w:type="dxa"/>
            <w:tcBorders>
              <w:top w:val="single" w:sz="4" w:space="0" w:color="auto"/>
              <w:left w:val="single" w:sz="4" w:space="0" w:color="auto"/>
              <w:bottom w:val="single" w:sz="4" w:space="0" w:color="auto"/>
              <w:right w:val="single" w:sz="4" w:space="0" w:color="auto"/>
            </w:tcBorders>
          </w:tcPr>
          <w:p w14:paraId="4FB37CDF" w14:textId="77777777" w:rsidR="00BB351C" w:rsidRPr="000A6006" w:rsidRDefault="00BB351C" w:rsidP="00885C85">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0A6006">
              <w:rPr>
                <w:rFonts w:cstheme="minorHAnsi"/>
                <w:szCs w:val="28"/>
                <w:lang w:val="en-AU"/>
              </w:rPr>
              <w:t>Using a quartile approach to estimate this proportion - this 25% figure shows what the value would be if 25% of service users' family members and carers experience this outcome.</w:t>
            </w:r>
          </w:p>
          <w:p w14:paraId="33CA544C" w14:textId="77777777" w:rsidR="00BB351C" w:rsidRPr="000A6006" w:rsidRDefault="00BB351C" w:rsidP="00885C85">
            <w:pPr>
              <w:cnfStyle w:val="000000100000" w:firstRow="0" w:lastRow="0" w:firstColumn="0" w:lastColumn="0" w:oddVBand="0" w:evenVBand="0" w:oddHBand="1" w:evenHBand="0" w:firstRowFirstColumn="0" w:firstRowLastColumn="0" w:lastRowFirstColumn="0" w:lastRowLastColumn="0"/>
              <w:rPr>
                <w:rFonts w:cstheme="minorHAnsi"/>
                <w:szCs w:val="28"/>
                <w:lang w:val="en-AU"/>
              </w:rPr>
            </w:pPr>
            <w:r w:rsidRPr="000A6006">
              <w:rPr>
                <w:rFonts w:cstheme="minorHAnsi"/>
                <w:szCs w:val="28"/>
                <w:lang w:val="en-AU"/>
              </w:rPr>
              <w:t>We've used a more conservative estimate in this case because we did not hear directly from family and carers.</w:t>
            </w:r>
          </w:p>
        </w:tc>
        <w:tc>
          <w:tcPr>
            <w:tcW w:w="1701" w:type="dxa"/>
            <w:tcBorders>
              <w:top w:val="single" w:sz="4" w:space="0" w:color="auto"/>
              <w:left w:val="single" w:sz="4" w:space="0" w:color="auto"/>
              <w:bottom w:val="single" w:sz="4" w:space="0" w:color="auto"/>
              <w:right w:val="single" w:sz="4" w:space="0" w:color="auto"/>
            </w:tcBorders>
          </w:tcPr>
          <w:p w14:paraId="049E4A39" w14:textId="77777777" w:rsidR="00F855EA" w:rsidRPr="000A6006" w:rsidRDefault="00F855EA" w:rsidP="00F855EA">
            <w:pPr>
              <w:cnfStyle w:val="000000100000" w:firstRow="0" w:lastRow="0" w:firstColumn="0" w:lastColumn="0" w:oddVBand="0" w:evenVBand="0" w:oddHBand="1" w:evenHBand="0" w:firstRowFirstColumn="0" w:firstRowLastColumn="0" w:lastRowFirstColumn="0" w:lastRowLastColumn="0"/>
              <w:rPr>
                <w:szCs w:val="28"/>
              </w:rPr>
            </w:pPr>
            <w:r w:rsidRPr="000A6006">
              <w:rPr>
                <w:szCs w:val="28"/>
              </w:rPr>
              <w:t>10%</w:t>
            </w:r>
          </w:p>
          <w:p w14:paraId="1F89BE7F" w14:textId="47922427" w:rsidR="00BB351C" w:rsidRPr="000A6006" w:rsidRDefault="00F855EA" w:rsidP="00F855EA">
            <w:pPr>
              <w:cnfStyle w:val="000000100000" w:firstRow="0" w:lastRow="0" w:firstColumn="0" w:lastColumn="0" w:oddVBand="0" w:evenVBand="0" w:oddHBand="1" w:evenHBand="0" w:firstRowFirstColumn="0" w:firstRowLastColumn="0" w:lastRowFirstColumn="0" w:lastRowLastColumn="0"/>
              <w:rPr>
                <w:b/>
                <w:szCs w:val="28"/>
                <w:highlight w:val="yellow"/>
              </w:rPr>
            </w:pPr>
            <w:r w:rsidRPr="000A6006">
              <w:rPr>
                <w:szCs w:val="28"/>
              </w:rPr>
              <w:t>(Quartile approach)</w:t>
            </w:r>
          </w:p>
        </w:tc>
        <w:tc>
          <w:tcPr>
            <w:tcW w:w="1418" w:type="dxa"/>
            <w:tcBorders>
              <w:top w:val="single" w:sz="4" w:space="0" w:color="auto"/>
              <w:left w:val="single" w:sz="4" w:space="0" w:color="auto"/>
              <w:bottom w:val="single" w:sz="4" w:space="0" w:color="auto"/>
              <w:right w:val="single" w:sz="4" w:space="0" w:color="auto"/>
            </w:tcBorders>
          </w:tcPr>
          <w:p w14:paraId="7410C6EA" w14:textId="0D823245" w:rsidR="00BB351C" w:rsidRPr="000A6006" w:rsidRDefault="00BB351C" w:rsidP="00885C85">
            <w:pPr>
              <w:cnfStyle w:val="000000100000" w:firstRow="0" w:lastRow="0" w:firstColumn="0" w:lastColumn="0" w:oddVBand="0" w:evenVBand="0" w:oddHBand="1" w:evenHBand="0" w:firstRowFirstColumn="0" w:firstRowLastColumn="0" w:lastRowFirstColumn="0" w:lastRowLastColumn="0"/>
              <w:rPr>
                <w:b/>
                <w:szCs w:val="28"/>
                <w:highlight w:val="yellow"/>
              </w:rPr>
            </w:pPr>
            <w:r w:rsidRPr="000A6006">
              <w:rPr>
                <w:b/>
                <w:szCs w:val="28"/>
              </w:rPr>
              <w:t>£219</w:t>
            </w:r>
            <w:r w:rsidR="00F855EA" w:rsidRPr="000A6006">
              <w:rPr>
                <w:b/>
                <w:szCs w:val="28"/>
              </w:rPr>
              <w:t>,</w:t>
            </w:r>
            <w:r w:rsidRPr="000A6006">
              <w:rPr>
                <w:b/>
                <w:szCs w:val="28"/>
              </w:rPr>
              <w:t xml:space="preserve">024 </w:t>
            </w:r>
          </w:p>
        </w:tc>
      </w:tr>
      <w:tr w:rsidR="004E14CF" w:rsidRPr="00EE7C55" w14:paraId="31E40524" w14:textId="77777777" w:rsidTr="00A83202">
        <w:tc>
          <w:tcPr>
            <w:cnfStyle w:val="001000000000" w:firstRow="0" w:lastRow="0" w:firstColumn="1" w:lastColumn="0" w:oddVBand="0" w:evenVBand="0" w:oddHBand="0" w:evenHBand="0" w:firstRowFirstColumn="0" w:firstRowLastColumn="0" w:lastRowFirstColumn="0" w:lastRowLastColumn="0"/>
            <w:tcW w:w="1408" w:type="dxa"/>
            <w:tcBorders>
              <w:top w:val="single" w:sz="4" w:space="0" w:color="auto"/>
              <w:left w:val="single" w:sz="4" w:space="0" w:color="auto"/>
              <w:bottom w:val="single" w:sz="4" w:space="0" w:color="auto"/>
              <w:right w:val="single" w:sz="4" w:space="0" w:color="auto"/>
            </w:tcBorders>
          </w:tcPr>
          <w:p w14:paraId="259A0A90" w14:textId="77777777" w:rsidR="004E14CF" w:rsidRPr="00DA578B" w:rsidRDefault="004E14CF" w:rsidP="004E14CF">
            <w:pPr>
              <w:rPr>
                <w:sz w:val="20"/>
                <w:szCs w:val="20"/>
                <w:lang w:val="en-AU"/>
              </w:rPr>
            </w:pPr>
          </w:p>
        </w:tc>
        <w:tc>
          <w:tcPr>
            <w:tcW w:w="1559" w:type="dxa"/>
            <w:tcBorders>
              <w:top w:val="single" w:sz="4" w:space="0" w:color="auto"/>
              <w:left w:val="single" w:sz="4" w:space="0" w:color="auto"/>
              <w:bottom w:val="single" w:sz="4" w:space="0" w:color="auto"/>
              <w:right w:val="single" w:sz="4" w:space="0" w:color="auto"/>
            </w:tcBorders>
          </w:tcPr>
          <w:p w14:paraId="2193FCF9" w14:textId="77777777" w:rsidR="004E14CF" w:rsidRPr="00DA578B" w:rsidRDefault="004E14CF" w:rsidP="004E14CF">
            <w:pPr>
              <w:cnfStyle w:val="000000000000" w:firstRow="0" w:lastRow="0" w:firstColumn="0" w:lastColumn="0" w:oddVBand="0" w:evenVBand="0" w:oddHBand="0" w:evenHBand="0" w:firstRowFirstColumn="0" w:firstRowLastColumn="0" w:lastRowFirstColumn="0" w:lastRowLastColumn="0"/>
              <w:rPr>
                <w:sz w:val="20"/>
                <w:lang w:val="en-AU"/>
              </w:rPr>
            </w:pPr>
          </w:p>
        </w:tc>
        <w:tc>
          <w:tcPr>
            <w:tcW w:w="1985" w:type="dxa"/>
            <w:tcBorders>
              <w:top w:val="single" w:sz="4" w:space="0" w:color="auto"/>
              <w:left w:val="single" w:sz="4" w:space="0" w:color="auto"/>
              <w:bottom w:val="single" w:sz="4" w:space="0" w:color="auto"/>
              <w:right w:val="single" w:sz="4" w:space="0" w:color="auto"/>
            </w:tcBorders>
          </w:tcPr>
          <w:p w14:paraId="455C9AF2" w14:textId="77777777" w:rsidR="004E14CF" w:rsidRPr="00DA578B" w:rsidRDefault="004E14CF" w:rsidP="004E14CF">
            <w:pPr>
              <w:cnfStyle w:val="000000000000" w:firstRow="0" w:lastRow="0" w:firstColumn="0" w:lastColumn="0" w:oddVBand="0" w:evenVBand="0" w:oddHBand="0" w:evenHBand="0" w:firstRowFirstColumn="0" w:firstRowLastColumn="0" w:lastRowFirstColumn="0" w:lastRowLastColumn="0"/>
              <w:rPr>
                <w:sz w:val="20"/>
                <w:lang w:val="en-AU"/>
              </w:rPr>
            </w:pPr>
          </w:p>
        </w:tc>
        <w:tc>
          <w:tcPr>
            <w:tcW w:w="1701" w:type="dxa"/>
            <w:tcBorders>
              <w:top w:val="single" w:sz="4" w:space="0" w:color="auto"/>
              <w:left w:val="single" w:sz="4" w:space="0" w:color="auto"/>
              <w:bottom w:val="single" w:sz="4" w:space="0" w:color="auto"/>
              <w:right w:val="single" w:sz="4" w:space="0" w:color="auto"/>
            </w:tcBorders>
          </w:tcPr>
          <w:p w14:paraId="0CB1227D" w14:textId="77777777" w:rsidR="004E14CF" w:rsidRPr="00DA578B" w:rsidRDefault="004E14CF" w:rsidP="004E14CF">
            <w:pPr>
              <w:cnfStyle w:val="000000000000" w:firstRow="0" w:lastRow="0" w:firstColumn="0" w:lastColumn="0" w:oddVBand="0" w:evenVBand="0" w:oddHBand="0" w:evenHBand="0" w:firstRowFirstColumn="0" w:firstRowLastColumn="0" w:lastRowFirstColumn="0" w:lastRowLastColumn="0"/>
              <w:rPr>
                <w:sz w:val="20"/>
                <w:lang w:val="en-AU"/>
              </w:rPr>
            </w:pPr>
          </w:p>
        </w:tc>
        <w:tc>
          <w:tcPr>
            <w:tcW w:w="1134" w:type="dxa"/>
            <w:tcBorders>
              <w:top w:val="single" w:sz="4" w:space="0" w:color="auto"/>
              <w:left w:val="single" w:sz="4" w:space="0" w:color="auto"/>
              <w:bottom w:val="single" w:sz="4" w:space="0" w:color="auto"/>
              <w:right w:val="single" w:sz="4" w:space="0" w:color="auto"/>
            </w:tcBorders>
          </w:tcPr>
          <w:p w14:paraId="0284D075" w14:textId="77777777" w:rsidR="004E14CF" w:rsidRPr="00DA578B" w:rsidRDefault="004E14CF" w:rsidP="004E14CF">
            <w:pPr>
              <w:cnfStyle w:val="000000000000" w:firstRow="0" w:lastRow="0" w:firstColumn="0" w:lastColumn="0" w:oddVBand="0" w:evenVBand="0" w:oddHBand="0" w:evenHBand="0" w:firstRowFirstColumn="0" w:firstRowLastColumn="0" w:lastRowFirstColumn="0" w:lastRowLastColumn="0"/>
              <w:rPr>
                <w:sz w:val="20"/>
                <w:lang w:val="en-AU"/>
              </w:rPr>
            </w:pPr>
          </w:p>
        </w:tc>
        <w:tc>
          <w:tcPr>
            <w:tcW w:w="1559" w:type="dxa"/>
            <w:tcBorders>
              <w:top w:val="single" w:sz="4" w:space="0" w:color="auto"/>
              <w:left w:val="single" w:sz="4" w:space="0" w:color="auto"/>
              <w:bottom w:val="single" w:sz="4" w:space="0" w:color="auto"/>
              <w:right w:val="single" w:sz="4" w:space="0" w:color="auto"/>
            </w:tcBorders>
          </w:tcPr>
          <w:p w14:paraId="3C3DD113" w14:textId="77777777" w:rsidR="004E14CF" w:rsidRPr="00DA578B" w:rsidRDefault="004E14CF" w:rsidP="004E14CF">
            <w:pPr>
              <w:cnfStyle w:val="000000000000" w:firstRow="0" w:lastRow="0" w:firstColumn="0" w:lastColumn="0" w:oddVBand="0" w:evenVBand="0" w:oddHBand="0" w:evenHBand="0" w:firstRowFirstColumn="0" w:firstRowLastColumn="0" w:lastRowFirstColumn="0" w:lastRowLastColumn="0"/>
              <w:rPr>
                <w:sz w:val="20"/>
                <w:lang w:val="en-AU"/>
              </w:rPr>
            </w:pPr>
          </w:p>
        </w:tc>
        <w:tc>
          <w:tcPr>
            <w:tcW w:w="3685" w:type="dxa"/>
            <w:gridSpan w:val="2"/>
            <w:tcBorders>
              <w:top w:val="single" w:sz="4" w:space="0" w:color="auto"/>
              <w:left w:val="single" w:sz="4" w:space="0" w:color="auto"/>
              <w:bottom w:val="single" w:sz="4" w:space="0" w:color="auto"/>
              <w:right w:val="single" w:sz="4" w:space="0" w:color="auto"/>
            </w:tcBorders>
          </w:tcPr>
          <w:p w14:paraId="23EB3B85" w14:textId="4B091F09" w:rsidR="004E14CF" w:rsidRPr="00181266" w:rsidRDefault="004E14CF" w:rsidP="004E14CF">
            <w:pPr>
              <w:cnfStyle w:val="000000000000" w:firstRow="0" w:lastRow="0" w:firstColumn="0" w:lastColumn="0" w:oddVBand="0" w:evenVBand="0" w:oddHBand="0" w:evenHBand="0" w:firstRowFirstColumn="0" w:firstRowLastColumn="0" w:lastRowFirstColumn="0" w:lastRowLastColumn="0"/>
              <w:rPr>
                <w:sz w:val="20"/>
              </w:rPr>
            </w:pPr>
            <w:r w:rsidRPr="0000386A">
              <w:rPr>
                <w:b/>
                <w:lang w:val="en-AU"/>
              </w:rPr>
              <w:t>O</w:t>
            </w:r>
            <w:r w:rsidR="00A83202">
              <w:rPr>
                <w:b/>
                <w:lang w:val="en-AU"/>
              </w:rPr>
              <w:t>utcomes for carers total</w:t>
            </w:r>
          </w:p>
        </w:tc>
        <w:tc>
          <w:tcPr>
            <w:tcW w:w="1418" w:type="dxa"/>
            <w:tcBorders>
              <w:top w:val="single" w:sz="4" w:space="0" w:color="auto"/>
              <w:left w:val="single" w:sz="4" w:space="0" w:color="auto"/>
              <w:bottom w:val="single" w:sz="4" w:space="0" w:color="auto"/>
              <w:right w:val="single" w:sz="4" w:space="0" w:color="auto"/>
            </w:tcBorders>
          </w:tcPr>
          <w:p w14:paraId="12571597" w14:textId="70E8AF96" w:rsidR="004E14CF" w:rsidRPr="00DA578B" w:rsidRDefault="004E14CF" w:rsidP="004E14CF">
            <w:pPr>
              <w:cnfStyle w:val="000000000000" w:firstRow="0" w:lastRow="0" w:firstColumn="0" w:lastColumn="0" w:oddVBand="0" w:evenVBand="0" w:oddHBand="0" w:evenHBand="0" w:firstRowFirstColumn="0" w:firstRowLastColumn="0" w:lastRowFirstColumn="0" w:lastRowLastColumn="0"/>
              <w:rPr>
                <w:b/>
              </w:rPr>
            </w:pPr>
            <w:r w:rsidRPr="00DA578B">
              <w:rPr>
                <w:b/>
              </w:rPr>
              <w:t xml:space="preserve">£219,024 </w:t>
            </w:r>
          </w:p>
        </w:tc>
      </w:tr>
      <w:tr w:rsidR="004E14CF" w:rsidRPr="00880525" w14:paraId="7ED25627" w14:textId="77777777" w:rsidTr="00A83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Borders>
              <w:top w:val="single" w:sz="4" w:space="0" w:color="auto"/>
              <w:left w:val="single" w:sz="4" w:space="0" w:color="auto"/>
              <w:bottom w:val="single" w:sz="4" w:space="0" w:color="auto"/>
              <w:right w:val="single" w:sz="4" w:space="0" w:color="auto"/>
            </w:tcBorders>
          </w:tcPr>
          <w:p w14:paraId="5BAF8942" w14:textId="77777777" w:rsidR="004E14CF" w:rsidRPr="00B65B0C" w:rsidRDefault="004E14CF" w:rsidP="004E14CF">
            <w:pPr>
              <w:rPr>
                <w:sz w:val="20"/>
                <w:lang w:val="en-AU"/>
              </w:rPr>
            </w:pPr>
          </w:p>
        </w:tc>
        <w:tc>
          <w:tcPr>
            <w:tcW w:w="1559" w:type="dxa"/>
            <w:tcBorders>
              <w:top w:val="single" w:sz="4" w:space="0" w:color="auto"/>
              <w:left w:val="single" w:sz="4" w:space="0" w:color="auto"/>
              <w:bottom w:val="single" w:sz="4" w:space="0" w:color="auto"/>
              <w:right w:val="single" w:sz="4" w:space="0" w:color="auto"/>
            </w:tcBorders>
          </w:tcPr>
          <w:p w14:paraId="78319984" w14:textId="77777777" w:rsidR="004E14CF" w:rsidRPr="00B65B0C" w:rsidRDefault="004E14CF" w:rsidP="004E14CF">
            <w:pPr>
              <w:cnfStyle w:val="000000100000" w:firstRow="0" w:lastRow="0" w:firstColumn="0" w:lastColumn="0" w:oddVBand="0" w:evenVBand="0" w:oddHBand="1" w:evenHBand="0" w:firstRowFirstColumn="0" w:firstRowLastColumn="0" w:lastRowFirstColumn="0" w:lastRowLastColumn="0"/>
              <w:rPr>
                <w:sz w:val="20"/>
                <w:lang w:val="en-AU"/>
              </w:rPr>
            </w:pPr>
          </w:p>
        </w:tc>
        <w:tc>
          <w:tcPr>
            <w:tcW w:w="1985" w:type="dxa"/>
            <w:tcBorders>
              <w:top w:val="single" w:sz="4" w:space="0" w:color="auto"/>
              <w:left w:val="single" w:sz="4" w:space="0" w:color="auto"/>
              <w:bottom w:val="single" w:sz="4" w:space="0" w:color="auto"/>
              <w:right w:val="single" w:sz="4" w:space="0" w:color="auto"/>
            </w:tcBorders>
          </w:tcPr>
          <w:p w14:paraId="21DB566A" w14:textId="77777777" w:rsidR="004E14CF" w:rsidRDefault="004E14CF" w:rsidP="004E14CF">
            <w:pPr>
              <w:cnfStyle w:val="000000100000" w:firstRow="0" w:lastRow="0" w:firstColumn="0" w:lastColumn="0" w:oddVBand="0" w:evenVBand="0" w:oddHBand="1" w:evenHBand="0" w:firstRowFirstColumn="0" w:firstRowLastColumn="0" w:lastRowFirstColumn="0" w:lastRowLastColumn="0"/>
              <w:rPr>
                <w:sz w:val="20"/>
                <w:lang w:val="en-AU"/>
              </w:rPr>
            </w:pPr>
          </w:p>
        </w:tc>
        <w:tc>
          <w:tcPr>
            <w:tcW w:w="1701" w:type="dxa"/>
            <w:tcBorders>
              <w:top w:val="single" w:sz="4" w:space="0" w:color="auto"/>
              <w:left w:val="single" w:sz="4" w:space="0" w:color="auto"/>
              <w:bottom w:val="single" w:sz="4" w:space="0" w:color="auto"/>
              <w:right w:val="single" w:sz="4" w:space="0" w:color="auto"/>
            </w:tcBorders>
          </w:tcPr>
          <w:p w14:paraId="768EE4EA" w14:textId="77777777" w:rsidR="004E14CF" w:rsidRPr="00B65B0C" w:rsidRDefault="004E14CF" w:rsidP="004E14CF">
            <w:pPr>
              <w:cnfStyle w:val="000000100000" w:firstRow="0" w:lastRow="0" w:firstColumn="0" w:lastColumn="0" w:oddVBand="0" w:evenVBand="0" w:oddHBand="1" w:evenHBand="0" w:firstRowFirstColumn="0" w:firstRowLastColumn="0" w:lastRowFirstColumn="0" w:lastRowLastColumn="0"/>
              <w:rPr>
                <w:sz w:val="20"/>
                <w:lang w:val="en-AU"/>
              </w:rPr>
            </w:pPr>
          </w:p>
        </w:tc>
        <w:tc>
          <w:tcPr>
            <w:tcW w:w="1134" w:type="dxa"/>
            <w:tcBorders>
              <w:top w:val="single" w:sz="4" w:space="0" w:color="auto"/>
              <w:left w:val="single" w:sz="4" w:space="0" w:color="auto"/>
              <w:bottom w:val="single" w:sz="4" w:space="0" w:color="auto"/>
              <w:right w:val="single" w:sz="4" w:space="0" w:color="auto"/>
            </w:tcBorders>
          </w:tcPr>
          <w:p w14:paraId="62F0DEFD" w14:textId="77777777" w:rsidR="004E14CF" w:rsidRDefault="004E14CF" w:rsidP="004E14CF">
            <w:pPr>
              <w:cnfStyle w:val="000000100000" w:firstRow="0" w:lastRow="0" w:firstColumn="0" w:lastColumn="0" w:oddVBand="0" w:evenVBand="0" w:oddHBand="1" w:evenHBand="0" w:firstRowFirstColumn="0" w:firstRowLastColumn="0" w:lastRowFirstColumn="0" w:lastRowLastColumn="0"/>
              <w:rPr>
                <w:sz w:val="20"/>
                <w:lang w:eastAsia="en-GB"/>
              </w:rPr>
            </w:pPr>
          </w:p>
        </w:tc>
        <w:tc>
          <w:tcPr>
            <w:tcW w:w="1559" w:type="dxa"/>
            <w:tcBorders>
              <w:top w:val="single" w:sz="4" w:space="0" w:color="auto"/>
              <w:left w:val="single" w:sz="4" w:space="0" w:color="auto"/>
              <w:bottom w:val="single" w:sz="4" w:space="0" w:color="auto"/>
              <w:right w:val="single" w:sz="4" w:space="0" w:color="auto"/>
            </w:tcBorders>
          </w:tcPr>
          <w:p w14:paraId="4DA78506" w14:textId="77777777" w:rsidR="004E14CF" w:rsidRDefault="004E14CF" w:rsidP="004E14CF">
            <w:pPr>
              <w:cnfStyle w:val="000000100000" w:firstRow="0" w:lastRow="0" w:firstColumn="0" w:lastColumn="0" w:oddVBand="0" w:evenVBand="0" w:oddHBand="1" w:evenHBand="0" w:firstRowFirstColumn="0" w:firstRowLastColumn="0" w:lastRowFirstColumn="0" w:lastRowLastColumn="0"/>
              <w:rPr>
                <w:sz w:val="20"/>
                <w:lang w:val="en-AU"/>
              </w:rPr>
            </w:pPr>
          </w:p>
        </w:tc>
        <w:tc>
          <w:tcPr>
            <w:tcW w:w="1984" w:type="dxa"/>
            <w:tcBorders>
              <w:top w:val="single" w:sz="4" w:space="0" w:color="auto"/>
              <w:left w:val="single" w:sz="4" w:space="0" w:color="auto"/>
              <w:bottom w:val="single" w:sz="4" w:space="0" w:color="auto"/>
              <w:right w:val="single" w:sz="4" w:space="0" w:color="auto"/>
            </w:tcBorders>
          </w:tcPr>
          <w:p w14:paraId="2EA70D59" w14:textId="5E6528D8" w:rsidR="004E14CF" w:rsidRPr="000A6006" w:rsidRDefault="00A83202" w:rsidP="004E14CF">
            <w:pPr>
              <w:cnfStyle w:val="000000100000" w:firstRow="0" w:lastRow="0" w:firstColumn="0" w:lastColumn="0" w:oddVBand="0" w:evenVBand="0" w:oddHBand="1" w:evenHBand="0" w:firstRowFirstColumn="0" w:firstRowLastColumn="0" w:lastRowFirstColumn="0" w:lastRowLastColumn="0"/>
              <w:rPr>
                <w:b/>
                <w:szCs w:val="28"/>
                <w:lang w:val="en-AU"/>
              </w:rPr>
            </w:pPr>
            <w:r>
              <w:rPr>
                <w:b/>
                <w:szCs w:val="28"/>
                <w:lang w:val="en-AU"/>
              </w:rPr>
              <w:t>Total</w:t>
            </w:r>
            <w:r w:rsidR="004E14CF" w:rsidRPr="000A6006">
              <w:rPr>
                <w:b/>
                <w:szCs w:val="28"/>
                <w:lang w:val="en-AU"/>
              </w:rPr>
              <w:t xml:space="preserve"> </w:t>
            </w:r>
          </w:p>
        </w:tc>
        <w:tc>
          <w:tcPr>
            <w:tcW w:w="1701" w:type="dxa"/>
            <w:tcBorders>
              <w:top w:val="single" w:sz="4" w:space="0" w:color="auto"/>
              <w:left w:val="single" w:sz="4" w:space="0" w:color="auto"/>
              <w:bottom w:val="single" w:sz="4" w:space="0" w:color="auto"/>
              <w:right w:val="single" w:sz="4" w:space="0" w:color="auto"/>
            </w:tcBorders>
          </w:tcPr>
          <w:p w14:paraId="65FB461D" w14:textId="77777777" w:rsidR="004E14CF" w:rsidRPr="00885C85" w:rsidRDefault="004E14CF" w:rsidP="004E14CF">
            <w:pPr>
              <w:keepNext/>
              <w:cnfStyle w:val="000000100000" w:firstRow="0" w:lastRow="0" w:firstColumn="0" w:lastColumn="0" w:oddVBand="0" w:evenVBand="0" w:oddHBand="1" w:evenHBand="0" w:firstRowFirstColumn="0" w:firstRowLastColumn="0" w:lastRowFirstColumn="0" w:lastRowLastColumn="0"/>
              <w:rPr>
                <w:b/>
                <w:highlight w:val="yellow"/>
              </w:rPr>
            </w:pPr>
          </w:p>
        </w:tc>
        <w:tc>
          <w:tcPr>
            <w:tcW w:w="1418" w:type="dxa"/>
            <w:tcBorders>
              <w:top w:val="single" w:sz="4" w:space="0" w:color="auto"/>
              <w:left w:val="single" w:sz="4" w:space="0" w:color="auto"/>
              <w:bottom w:val="single" w:sz="4" w:space="0" w:color="auto"/>
              <w:right w:val="single" w:sz="4" w:space="0" w:color="auto"/>
            </w:tcBorders>
          </w:tcPr>
          <w:p w14:paraId="59B7E4D3" w14:textId="057DCB38" w:rsidR="004E14CF" w:rsidRPr="00F855EA" w:rsidRDefault="004E14CF" w:rsidP="004E14CF">
            <w:pPr>
              <w:keepNext/>
              <w:cnfStyle w:val="000000100000" w:firstRow="0" w:lastRow="0" w:firstColumn="0" w:lastColumn="0" w:oddVBand="0" w:evenVBand="0" w:oddHBand="1" w:evenHBand="0" w:firstRowFirstColumn="0" w:firstRowLastColumn="0" w:lastRowFirstColumn="0" w:lastRowLastColumn="0"/>
              <w:rPr>
                <w:b/>
              </w:rPr>
            </w:pPr>
            <w:r w:rsidRPr="00F855EA">
              <w:rPr>
                <w:b/>
              </w:rPr>
              <w:t>£</w:t>
            </w:r>
            <w:r w:rsidRPr="00DA578B">
              <w:rPr>
                <w:b/>
              </w:rPr>
              <w:t>2</w:t>
            </w:r>
            <w:r>
              <w:rPr>
                <w:b/>
              </w:rPr>
              <w:t>55</w:t>
            </w:r>
            <w:r w:rsidRPr="00F855EA">
              <w:rPr>
                <w:b/>
              </w:rPr>
              <w:t>,</w:t>
            </w:r>
            <w:r>
              <w:rPr>
                <w:b/>
              </w:rPr>
              <w:t>823</w:t>
            </w:r>
          </w:p>
        </w:tc>
      </w:tr>
    </w:tbl>
    <w:p w14:paraId="2361F1E5" w14:textId="54CB0301" w:rsidR="00936072" w:rsidRPr="00885C85" w:rsidRDefault="00936072" w:rsidP="00E967AA">
      <w:pPr>
        <w:tabs>
          <w:tab w:val="left" w:pos="1803"/>
        </w:tabs>
        <w:rPr>
          <w:b/>
          <w:lang w:eastAsia="en-GB"/>
        </w:rPr>
        <w:sectPr w:rsidR="00936072" w:rsidRPr="00885C85" w:rsidSect="00E967AA">
          <w:headerReference w:type="default" r:id="rId19"/>
          <w:footerReference w:type="default" r:id="rId20"/>
          <w:footerReference w:type="first" r:id="rId21"/>
          <w:endnotePr>
            <w:numFmt w:val="decimal"/>
          </w:endnotePr>
          <w:pgSz w:w="16840" w:h="11907" w:orient="landscape" w:code="9"/>
          <w:pgMar w:top="1701" w:right="1429" w:bottom="1134" w:left="1429" w:header="709" w:footer="709" w:gutter="0"/>
          <w:cols w:space="708"/>
          <w:docGrid w:linePitch="360"/>
        </w:sectPr>
      </w:pPr>
    </w:p>
    <w:p w14:paraId="33897398" w14:textId="65CFA84F" w:rsidR="00F96DB2" w:rsidRPr="00CA0865" w:rsidRDefault="00B5498B" w:rsidP="00EB3358">
      <w:pPr>
        <w:pStyle w:val="Heading2"/>
      </w:pPr>
      <w:bookmarkStart w:id="54" w:name="_Toc485896981"/>
      <w:r>
        <w:t xml:space="preserve">A2. </w:t>
      </w:r>
      <w:r w:rsidR="00F96DB2" w:rsidRPr="00CA0865">
        <w:t>Reference List</w:t>
      </w:r>
      <w:bookmarkEnd w:id="54"/>
      <w:r w:rsidR="00F96DB2" w:rsidRPr="00CA0865">
        <w:t xml:space="preserve"> </w:t>
      </w:r>
    </w:p>
    <w:p w14:paraId="3B245759" w14:textId="23112D0C" w:rsidR="00F96DB2" w:rsidRDefault="00F96DB2" w:rsidP="00524229">
      <w:pPr>
        <w:ind w:left="567" w:hanging="567"/>
        <w:rPr>
          <w:rFonts w:cstheme="minorHAnsi"/>
        </w:rPr>
      </w:pPr>
      <w:r w:rsidRPr="00524229">
        <w:rPr>
          <w:rFonts w:cstheme="minorHAnsi"/>
        </w:rPr>
        <w:t xml:space="preserve">Age Scotland. 2013. ‘Driving Change: The case for investing in community transport’. Edinburgh: Age Scotland. </w:t>
      </w:r>
    </w:p>
    <w:p w14:paraId="64F9F84E" w14:textId="39162764" w:rsidR="00207C91" w:rsidRPr="00524229" w:rsidRDefault="00207C91">
      <w:pPr>
        <w:ind w:left="567" w:hanging="567"/>
        <w:rPr>
          <w:rFonts w:cstheme="minorHAnsi"/>
        </w:rPr>
      </w:pPr>
      <w:r>
        <w:rPr>
          <w:rFonts w:cstheme="minorHAnsi"/>
        </w:rPr>
        <w:t>Baker</w:t>
      </w:r>
      <w:r w:rsidR="006B2895">
        <w:rPr>
          <w:rFonts w:cstheme="minorHAnsi"/>
        </w:rPr>
        <w:t xml:space="preserve">, C. 2016. ‘House of Commons Briefing Paper 6964. Accident and Emergency Statistics: Demand, Performance and Pressure’. London: House of Commons. </w:t>
      </w:r>
      <w:r>
        <w:rPr>
          <w:rFonts w:cstheme="minorHAnsi"/>
        </w:rPr>
        <w:t xml:space="preserve"> </w:t>
      </w:r>
    </w:p>
    <w:p w14:paraId="7C37D5F5" w14:textId="77777777" w:rsidR="00F96DB2" w:rsidRPr="00524229" w:rsidRDefault="00F96DB2" w:rsidP="00524229">
      <w:pPr>
        <w:ind w:left="567" w:hanging="567"/>
        <w:rPr>
          <w:rFonts w:eastAsia="Times New Roman" w:cstheme="minorHAnsi"/>
          <w:bCs/>
          <w:color w:val="000000"/>
          <w:lang w:eastAsia="en-GB"/>
        </w:rPr>
      </w:pPr>
      <w:r w:rsidRPr="00524229">
        <w:rPr>
          <w:rFonts w:cstheme="minorHAnsi"/>
        </w:rPr>
        <w:t xml:space="preserve">Cimarolli, V.R., Boerner, K. and Wang, S. 2006. ‘Life goals in vision rehabilitation: are they addressed and how?’. </w:t>
      </w:r>
      <w:r w:rsidRPr="00524229">
        <w:rPr>
          <w:rFonts w:cstheme="minorHAnsi"/>
          <w:i/>
          <w:iCs/>
        </w:rPr>
        <w:t>Journal of Visual Impairment &amp; Blindness</w:t>
      </w:r>
      <w:r w:rsidRPr="00524229">
        <w:rPr>
          <w:rFonts w:cstheme="minorHAnsi"/>
        </w:rPr>
        <w:t>. Vol. 100, no. 6.pp. 343-352.</w:t>
      </w:r>
    </w:p>
    <w:p w14:paraId="0518160A" w14:textId="77777777" w:rsidR="00F96DB2" w:rsidRPr="00524229" w:rsidRDefault="00F96DB2" w:rsidP="00524229">
      <w:pPr>
        <w:ind w:left="567" w:hanging="567"/>
        <w:rPr>
          <w:rFonts w:cstheme="minorHAnsi"/>
        </w:rPr>
      </w:pPr>
      <w:r w:rsidRPr="00524229">
        <w:rPr>
          <w:rFonts w:cstheme="minorHAnsi"/>
        </w:rPr>
        <w:t xml:space="preserve">Community Transport Association. 2014. ‘CTA State of the Sector Report: What next for community transport? Insights and ideas for action’. Cheshire: Community Transport Association UK.  </w:t>
      </w:r>
    </w:p>
    <w:p w14:paraId="08121EAE" w14:textId="77777777" w:rsidR="00F96DB2" w:rsidRPr="00524229" w:rsidRDefault="00F96DB2" w:rsidP="00524229">
      <w:pPr>
        <w:ind w:left="567" w:hanging="567"/>
        <w:rPr>
          <w:rFonts w:eastAsia="Times New Roman" w:cstheme="minorHAnsi"/>
          <w:color w:val="000000"/>
          <w:lang w:eastAsia="en-GB"/>
        </w:rPr>
      </w:pPr>
      <w:r w:rsidRPr="00524229">
        <w:rPr>
          <w:rFonts w:cstheme="minorHAnsi"/>
        </w:rPr>
        <w:t xml:space="preserve">Curtis, L. and Burns, A. 2015. ‘Unit Costs of Health and Social Care 2015’. Personal Social Services Research Unit. Kent: University of Kent.  </w:t>
      </w:r>
    </w:p>
    <w:p w14:paraId="3A2FB0A9" w14:textId="77777777" w:rsidR="00F96DB2" w:rsidRPr="00524229" w:rsidRDefault="00F96DB2" w:rsidP="00524229">
      <w:pPr>
        <w:ind w:left="567" w:hanging="567"/>
        <w:rPr>
          <w:rFonts w:cstheme="minorHAnsi"/>
        </w:rPr>
      </w:pPr>
      <w:r w:rsidRPr="00524229">
        <w:rPr>
          <w:rFonts w:cstheme="minorHAnsi"/>
        </w:rPr>
        <w:t xml:space="preserve">Francis, J., Fisher, M. and Rutter, D. 2014. ‘Reablement: a cost-effective route to better outcomes.’ London: Social Care Institute for Excellence.    </w:t>
      </w:r>
    </w:p>
    <w:p w14:paraId="529906C1" w14:textId="7C085959" w:rsidR="00F96DB2" w:rsidRDefault="00F96DB2" w:rsidP="00524229">
      <w:pPr>
        <w:ind w:left="567" w:hanging="567"/>
        <w:rPr>
          <w:rFonts w:eastAsia="Times New Roman" w:cstheme="minorHAnsi"/>
          <w:color w:val="000000"/>
          <w:lang w:eastAsia="en-GB"/>
        </w:rPr>
      </w:pPr>
      <w:r w:rsidRPr="00524229">
        <w:rPr>
          <w:rFonts w:eastAsia="Times New Roman" w:cstheme="minorHAnsi"/>
          <w:color w:val="000000"/>
          <w:lang w:eastAsia="en-GB"/>
        </w:rPr>
        <w:t>Glendinning, C., Jones, K., Baxter, K., Rabiee, P., Curtis, L.A., Wilde, A., Arksey, H. and Forder J.E. 2010. ‘Home Care Reablement Services: Investigating the longer-term impact (prospective longitudinal study)’. York: University of York Social Policy Research Unit.</w:t>
      </w:r>
    </w:p>
    <w:p w14:paraId="109D1ACE" w14:textId="61AF10B3" w:rsidR="00083C9D" w:rsidRDefault="00083C9D" w:rsidP="00524229">
      <w:pPr>
        <w:ind w:left="567" w:hanging="567"/>
        <w:rPr>
          <w:rFonts w:eastAsia="Times New Roman" w:cstheme="minorHAnsi"/>
          <w:color w:val="000000"/>
          <w:lang w:eastAsia="en-GB"/>
        </w:rPr>
      </w:pPr>
      <w:r>
        <w:rPr>
          <w:rFonts w:eastAsia="Times New Roman" w:cstheme="minorHAnsi"/>
          <w:color w:val="000000"/>
          <w:lang w:eastAsia="en-GB"/>
        </w:rPr>
        <w:t xml:space="preserve">HM Treasury. 2003. ‘The Green Book: Appraisal and Evaluation in Central Government’. London: HM Treasury. </w:t>
      </w:r>
      <w:r w:rsidR="00C7017C">
        <w:rPr>
          <w:rFonts w:cstheme="minorHAnsi"/>
        </w:rPr>
        <w:t>Accessed November 2014 via</w:t>
      </w:r>
      <w:r w:rsidR="00C7017C">
        <w:t xml:space="preserve">: </w:t>
      </w:r>
      <w:r w:rsidR="00C7017C" w:rsidRPr="00C7017C">
        <w:rPr>
          <w:rFonts w:eastAsia="Times New Roman" w:cstheme="minorHAnsi"/>
          <w:color w:val="000000"/>
          <w:lang w:eastAsia="en-GB"/>
        </w:rPr>
        <w:t>https://www.gov.uk/government/uploads/system/uploads/attachment_data/file/220541/green_book_complete.pdf</w:t>
      </w:r>
    </w:p>
    <w:p w14:paraId="67589D85" w14:textId="3DA6E00B" w:rsidR="00083C9D" w:rsidRPr="00524229" w:rsidRDefault="00083C9D" w:rsidP="00524229">
      <w:pPr>
        <w:ind w:left="567" w:hanging="567"/>
        <w:rPr>
          <w:rFonts w:eastAsia="Times New Roman" w:cstheme="minorHAnsi"/>
          <w:color w:val="000000"/>
          <w:lang w:eastAsia="en-GB"/>
        </w:rPr>
      </w:pPr>
      <w:r>
        <w:rPr>
          <w:rFonts w:eastAsia="Times New Roman" w:cstheme="minorHAnsi"/>
          <w:color w:val="000000"/>
          <w:lang w:eastAsia="en-GB"/>
        </w:rPr>
        <w:t xml:space="preserve">HM Treasury. 2011. ‘The Magenta Book: Guidance for Evaluation.’ London: HM Treasury. </w:t>
      </w:r>
      <w:r w:rsidR="00C7017C">
        <w:rPr>
          <w:rFonts w:cstheme="minorHAnsi"/>
        </w:rPr>
        <w:t>Accessed November 2014 via</w:t>
      </w:r>
      <w:r w:rsidR="00842FF8">
        <w:t xml:space="preserve">: </w:t>
      </w:r>
      <w:r w:rsidR="00C7017C" w:rsidRPr="000C3689">
        <w:t>https://www.gov.uk/government/uploads/system/uploads/attachment_data/file/179379/magenta_book_combined.pdf.pdf</w:t>
      </w:r>
    </w:p>
    <w:p w14:paraId="53A4FF44" w14:textId="77777777" w:rsidR="00F96DB2" w:rsidRPr="00524229" w:rsidRDefault="00F96DB2" w:rsidP="00524229">
      <w:pPr>
        <w:ind w:left="567" w:hanging="567"/>
        <w:rPr>
          <w:rFonts w:eastAsia="Times New Roman" w:cstheme="minorHAnsi"/>
          <w:color w:val="000000"/>
          <w:lang w:eastAsia="en-GB"/>
        </w:rPr>
      </w:pPr>
      <w:r w:rsidRPr="00524229">
        <w:rPr>
          <w:rFonts w:eastAsia="Times New Roman" w:cstheme="minorHAnsi"/>
          <w:color w:val="000000"/>
          <w:lang w:eastAsia="en-GB"/>
        </w:rPr>
        <w:t xml:space="preserve">Hurstfield, J., Parashar, U. and Schofield, S. 2007. ‘The costs and benefits of independent living’. Leeds: Office for Disability Issues.  </w:t>
      </w:r>
    </w:p>
    <w:p w14:paraId="7BE1B5C8" w14:textId="77777777" w:rsidR="00F96DB2" w:rsidRPr="00524229" w:rsidRDefault="00F96DB2" w:rsidP="00524229">
      <w:pPr>
        <w:ind w:left="567" w:hanging="567"/>
        <w:rPr>
          <w:rFonts w:eastAsia="Times New Roman" w:cstheme="minorHAnsi"/>
          <w:color w:val="000000"/>
          <w:lang w:eastAsia="en-GB"/>
        </w:rPr>
      </w:pPr>
      <w:r w:rsidRPr="00524229">
        <w:rPr>
          <w:rFonts w:eastAsia="Times New Roman" w:cstheme="minorHAnsi"/>
          <w:color w:val="000000"/>
          <w:lang w:eastAsia="en-GB"/>
        </w:rPr>
        <w:t xml:space="preserve">Kent, J., Payne, C., Stewart, M. and Unell, J. 2000. 'External evaluation of the home care reablement pilot project' Leicester: De Montford University.   </w:t>
      </w:r>
    </w:p>
    <w:p w14:paraId="1D07B0F2" w14:textId="77777777" w:rsidR="00F96DB2" w:rsidRPr="00524229" w:rsidRDefault="00F96DB2" w:rsidP="00524229">
      <w:pPr>
        <w:ind w:left="567" w:hanging="567"/>
        <w:rPr>
          <w:rFonts w:eastAsia="Times New Roman" w:cstheme="minorHAnsi"/>
          <w:bCs/>
          <w:color w:val="000000"/>
          <w:lang w:eastAsia="en-GB"/>
        </w:rPr>
      </w:pPr>
      <w:r w:rsidRPr="00524229">
        <w:rPr>
          <w:rFonts w:eastAsia="Times New Roman" w:cstheme="minorHAnsi"/>
          <w:bCs/>
          <w:color w:val="000000"/>
          <w:lang w:eastAsia="en-GB"/>
        </w:rPr>
        <w:t xml:space="preserve">Lewin, G. and Vandermeulen, S. 2010. 'A non-randomised controlled trial of the Home Independence Program (HIP): an Australian restorative programme for older home-care clients'. </w:t>
      </w:r>
      <w:r w:rsidRPr="00524229">
        <w:rPr>
          <w:rFonts w:eastAsia="Times New Roman" w:cstheme="minorHAnsi"/>
          <w:bCs/>
          <w:i/>
          <w:color w:val="000000"/>
          <w:lang w:eastAsia="en-GB"/>
        </w:rPr>
        <w:t>Health &amp; Social Care in the Community</w:t>
      </w:r>
      <w:r w:rsidRPr="00524229">
        <w:rPr>
          <w:rFonts w:eastAsia="Times New Roman" w:cstheme="minorHAnsi"/>
          <w:bCs/>
          <w:color w:val="000000"/>
          <w:lang w:eastAsia="en-GB"/>
        </w:rPr>
        <w:t>. Vol. 18, no. 1, pp. 91–99.</w:t>
      </w:r>
    </w:p>
    <w:p w14:paraId="4B1BEDFC" w14:textId="58F7B68B" w:rsidR="00F96DB2" w:rsidRDefault="00F96DB2" w:rsidP="00524229">
      <w:pPr>
        <w:ind w:left="567" w:hanging="567"/>
        <w:rPr>
          <w:rFonts w:cstheme="minorHAnsi"/>
        </w:rPr>
      </w:pPr>
      <w:r w:rsidRPr="00524229">
        <w:rPr>
          <w:rFonts w:cstheme="minorHAnsi"/>
        </w:rPr>
        <w:t>McLeod, B. and Mair, M. 2009. ‘Evaluation of City of Edinburgh Council Home Care Reablement Service’. Edinburgh: Scottish Government.</w:t>
      </w:r>
    </w:p>
    <w:p w14:paraId="3222DBFF" w14:textId="4A3DF67A" w:rsidR="00E029F7" w:rsidRDefault="00DA7542" w:rsidP="00524229">
      <w:pPr>
        <w:ind w:left="567" w:hanging="567"/>
        <w:rPr>
          <w:rFonts w:cstheme="minorHAnsi"/>
        </w:rPr>
      </w:pPr>
      <w:r>
        <w:rPr>
          <w:rFonts w:cstheme="minorHAnsi"/>
        </w:rPr>
        <w:t>Morris, J. 2014. ‘I</w:t>
      </w:r>
      <w:r w:rsidRPr="00DA7542">
        <w:rPr>
          <w:rFonts w:cstheme="minorHAnsi"/>
        </w:rPr>
        <w:t>ndependent Living Strategy: A review of progress'</w:t>
      </w:r>
      <w:r>
        <w:rPr>
          <w:rFonts w:cstheme="minorHAnsi"/>
        </w:rPr>
        <w:t>.</w:t>
      </w:r>
      <w:r w:rsidRPr="00DA7542">
        <w:rPr>
          <w:rFonts w:cstheme="minorHAnsi"/>
        </w:rPr>
        <w:t xml:space="preserve"> In Control and Disability Rights UK.</w:t>
      </w:r>
      <w:r>
        <w:rPr>
          <w:rFonts w:cstheme="minorHAnsi"/>
        </w:rPr>
        <w:t xml:space="preserve"> Accessed November 2014 via </w:t>
      </w:r>
      <w:r w:rsidR="00F022EC" w:rsidRPr="000C3689">
        <w:t>https://www.disabilityrightsuk.org/sites/default/files/pdf/IndependentLivingStrategy-A%20review%20of%20progress.pdf</w:t>
      </w:r>
      <w:r>
        <w:rPr>
          <w:rFonts w:cstheme="minorHAnsi"/>
        </w:rPr>
        <w:t xml:space="preserve"> </w:t>
      </w:r>
    </w:p>
    <w:p w14:paraId="1D787341" w14:textId="1444C618" w:rsidR="00F022EC" w:rsidRDefault="00F022EC" w:rsidP="00524229">
      <w:pPr>
        <w:ind w:left="567" w:hanging="567"/>
        <w:rPr>
          <w:rFonts w:cstheme="minorHAnsi"/>
        </w:rPr>
      </w:pPr>
      <w:r w:rsidRPr="00F022EC">
        <w:rPr>
          <w:rFonts w:cstheme="minorHAnsi"/>
        </w:rPr>
        <w:t xml:space="preserve">New Economy. 2015. 'Unit Cost Database v1.4'. Accessed October 2016 via http://neweconomymanchester.com/our-work/research-evaluation-cost-benefit-analysis/cost-benefit-analysis/unit-cost-database  </w:t>
      </w:r>
    </w:p>
    <w:p w14:paraId="0CE8C4FF" w14:textId="54BBEF54" w:rsidR="00D879BD" w:rsidRDefault="00D879BD" w:rsidP="00524229">
      <w:pPr>
        <w:ind w:left="567" w:hanging="567"/>
        <w:rPr>
          <w:rFonts w:cstheme="minorHAnsi"/>
        </w:rPr>
      </w:pPr>
      <w:r w:rsidRPr="00D879BD">
        <w:rPr>
          <w:rFonts w:cstheme="minorHAnsi"/>
        </w:rPr>
        <w:t xml:space="preserve">Papworth Trust. 2014. 'Disability in the United Kingdom: Facts and figures'. Cambridge: Papworth Trust. Accessed in November 2016 via </w:t>
      </w:r>
      <w:r w:rsidR="000165F8" w:rsidRPr="000C3689">
        <w:t>http://www.papworthtrust.org.uk/sites/default/files/UK%20Disability%20facts%20and%20figures%20report%202014.pdf</w:t>
      </w:r>
    </w:p>
    <w:p w14:paraId="672D4D6A" w14:textId="77777777" w:rsidR="000165F8" w:rsidRPr="000C3689" w:rsidRDefault="000165F8" w:rsidP="000C3689">
      <w:pPr>
        <w:ind w:left="567" w:hanging="567"/>
        <w:rPr>
          <w:rFonts w:eastAsia="Times New Roman" w:cstheme="minorHAnsi"/>
          <w:bCs/>
          <w:color w:val="000000"/>
          <w:lang w:eastAsia="en-GB"/>
        </w:rPr>
      </w:pPr>
      <w:r w:rsidRPr="000C3689">
        <w:rPr>
          <w:rFonts w:eastAsia="Times New Roman" w:cstheme="minorHAnsi"/>
          <w:bCs/>
          <w:color w:val="000000"/>
          <w:lang w:eastAsia="en-GB"/>
        </w:rPr>
        <w:t>Public Health England. 2015. 'Local action on health inequalities: Reducing social isolation across the lifecourse' London: University College London Institute of Health Equity.</w:t>
      </w:r>
    </w:p>
    <w:p w14:paraId="0985AD9F" w14:textId="3162D8C5" w:rsidR="00F96DB2" w:rsidRDefault="00F96DB2" w:rsidP="00524229">
      <w:pPr>
        <w:ind w:left="567" w:hanging="567"/>
        <w:rPr>
          <w:rFonts w:eastAsia="Times New Roman" w:cstheme="minorHAnsi"/>
          <w:bCs/>
          <w:color w:val="000000"/>
          <w:lang w:eastAsia="en-GB"/>
        </w:rPr>
      </w:pPr>
      <w:r w:rsidRPr="00524229">
        <w:rPr>
          <w:rFonts w:eastAsia="Times New Roman" w:cstheme="minorHAnsi"/>
          <w:bCs/>
          <w:color w:val="000000"/>
          <w:lang w:eastAsia="en-GB"/>
        </w:rPr>
        <w:t xml:space="preserve">Rabiee, P., Parker, G., Bernard, S. and Baxter, K. 2015. ‘Vision Rehabilitation Services: What is the evidence? Final Report’. York: University of York Social Policy Research Unit.  </w:t>
      </w:r>
    </w:p>
    <w:p w14:paraId="4CAFF3C3" w14:textId="1571AC76" w:rsidR="008A572F" w:rsidRDefault="008A572F" w:rsidP="000C3689">
      <w:pPr>
        <w:ind w:left="567" w:hanging="567"/>
        <w:rPr>
          <w:rFonts w:eastAsia="Times New Roman" w:cstheme="minorHAnsi"/>
          <w:bCs/>
          <w:color w:val="000000"/>
          <w:lang w:eastAsia="en-GB"/>
        </w:rPr>
      </w:pPr>
      <w:r w:rsidRPr="000C3689">
        <w:rPr>
          <w:rFonts w:eastAsia="Times New Roman" w:cstheme="minorHAnsi"/>
          <w:bCs/>
          <w:color w:val="000000"/>
          <w:lang w:eastAsia="en-GB"/>
        </w:rPr>
        <w:t>Rand, S., Malley, J. &amp; Nette, A. 2012. ‘Measuring the Social Care Outcomes of Informal Carers</w:t>
      </w:r>
      <w:r w:rsidR="00691BEC">
        <w:rPr>
          <w:rFonts w:eastAsia="Times New Roman" w:cstheme="minorHAnsi"/>
          <w:bCs/>
          <w:color w:val="000000"/>
          <w:lang w:eastAsia="en-GB"/>
        </w:rPr>
        <w:t>:</w:t>
      </w:r>
      <w:r w:rsidRPr="000C3689">
        <w:rPr>
          <w:rFonts w:eastAsia="Times New Roman" w:cstheme="minorHAnsi"/>
          <w:bCs/>
          <w:color w:val="000000"/>
          <w:lang w:eastAsia="en-GB"/>
        </w:rPr>
        <w:t xml:space="preserve"> An Interim Technical Report for the Identifying the Impact of Social Care (IIASC) Study’. Quality and Outcomes of Person-Centred Care Policy Unit.  </w:t>
      </w:r>
    </w:p>
    <w:p w14:paraId="3248D1D3" w14:textId="565036B5" w:rsidR="009A1719" w:rsidRPr="000C3689" w:rsidRDefault="009A1719" w:rsidP="000C3689">
      <w:pPr>
        <w:ind w:left="567" w:hanging="567"/>
        <w:rPr>
          <w:rFonts w:eastAsia="Times New Roman" w:cstheme="minorHAnsi"/>
          <w:bCs/>
          <w:color w:val="000000"/>
          <w:lang w:eastAsia="en-GB"/>
        </w:rPr>
      </w:pPr>
      <w:r>
        <w:rPr>
          <w:rFonts w:eastAsia="Times New Roman" w:cstheme="minorHAnsi"/>
          <w:bCs/>
          <w:color w:val="000000"/>
          <w:lang w:eastAsia="en-GB"/>
        </w:rPr>
        <w:t>RNIB. 2016. ‘</w:t>
      </w:r>
      <w:r w:rsidRPr="006A141D">
        <w:t>10 Principles of Good Practice in Vision Rehabilitation</w:t>
      </w:r>
      <w:r>
        <w:t>’. London: RNIB.</w:t>
      </w:r>
      <w:r>
        <w:rPr>
          <w:rFonts w:eastAsia="Times New Roman" w:cstheme="minorHAnsi"/>
          <w:bCs/>
          <w:color w:val="000000"/>
          <w:lang w:eastAsia="en-GB"/>
        </w:rPr>
        <w:t xml:space="preserve"> </w:t>
      </w:r>
    </w:p>
    <w:p w14:paraId="79F81ACD" w14:textId="08CDF1A5" w:rsidR="00B83158" w:rsidRDefault="00B83158" w:rsidP="00524229">
      <w:pPr>
        <w:ind w:left="567" w:hanging="567"/>
        <w:rPr>
          <w:rFonts w:eastAsia="Times New Roman" w:cstheme="minorHAnsi"/>
          <w:bCs/>
          <w:color w:val="000000"/>
          <w:lang w:eastAsia="en-GB"/>
        </w:rPr>
      </w:pPr>
      <w:r>
        <w:rPr>
          <w:rFonts w:eastAsia="Times New Roman" w:cstheme="minorHAnsi"/>
          <w:bCs/>
          <w:color w:val="000000"/>
          <w:lang w:eastAsia="en-GB"/>
        </w:rPr>
        <w:t>Sibley, E. 2009. ‘</w:t>
      </w:r>
      <w:r w:rsidR="00725C35">
        <w:rPr>
          <w:rFonts w:eastAsia="Times New Roman" w:cstheme="minorHAnsi"/>
          <w:bCs/>
          <w:color w:val="000000"/>
          <w:lang w:eastAsia="en-GB"/>
        </w:rPr>
        <w:t xml:space="preserve">Towards an inclusive health service: a research report into the availability of health information for blind and partially sighted people’. London: RNIB. </w:t>
      </w:r>
    </w:p>
    <w:p w14:paraId="3822C892" w14:textId="3034F06C" w:rsidR="008A572F" w:rsidRDefault="009A1719" w:rsidP="00524229">
      <w:pPr>
        <w:ind w:left="567" w:hanging="567"/>
        <w:rPr>
          <w:rFonts w:eastAsia="Times New Roman" w:cstheme="minorHAnsi"/>
          <w:bCs/>
          <w:color w:val="000000"/>
          <w:lang w:eastAsia="en-GB"/>
        </w:rPr>
      </w:pPr>
      <w:r>
        <w:rPr>
          <w:rFonts w:eastAsia="Times New Roman" w:cstheme="minorHAnsi"/>
          <w:bCs/>
          <w:color w:val="000000"/>
          <w:lang w:eastAsia="en-GB"/>
        </w:rPr>
        <w:t xml:space="preserve">Slade, J. and Edwards, R. 2015. ‘My Voice 2015: The views and experiences of blind and partially sighted people in the UK. London: RNIB. </w:t>
      </w:r>
    </w:p>
    <w:p w14:paraId="2798C938" w14:textId="4149EDD8" w:rsidR="00B20BAE" w:rsidRDefault="00B20BAE" w:rsidP="00B20BAE">
      <w:pPr>
        <w:ind w:left="567" w:hanging="567"/>
        <w:rPr>
          <w:rFonts w:eastAsia="Times New Roman" w:cstheme="minorHAnsi"/>
          <w:bCs/>
          <w:color w:val="000000"/>
          <w:lang w:eastAsia="en-GB"/>
        </w:rPr>
      </w:pPr>
      <w:r>
        <w:rPr>
          <w:rFonts w:eastAsia="Times New Roman" w:cstheme="minorHAnsi"/>
          <w:bCs/>
          <w:color w:val="000000"/>
          <w:lang w:eastAsia="en-GB"/>
        </w:rPr>
        <w:t xml:space="preserve">The British Medical Association. 2014. ‘General Practice in the UK: Media brief’. </w:t>
      </w:r>
      <w:r w:rsidRPr="00D879BD">
        <w:rPr>
          <w:rFonts w:cstheme="minorHAnsi"/>
        </w:rPr>
        <w:t>Accessed in November 2016 via</w:t>
      </w:r>
      <w:r>
        <w:rPr>
          <w:rFonts w:eastAsia="Times New Roman" w:cstheme="minorHAnsi"/>
          <w:bCs/>
          <w:color w:val="000000"/>
          <w:lang w:eastAsia="en-GB"/>
        </w:rPr>
        <w:t xml:space="preserve"> </w:t>
      </w:r>
      <w:r w:rsidRPr="000C3689">
        <w:rPr>
          <w:color w:val="000000"/>
        </w:rPr>
        <w:t>https://www.bma.org.uk/news/media-centre/press-briefing-papers</w:t>
      </w:r>
      <w:r>
        <w:rPr>
          <w:rFonts w:eastAsia="Times New Roman" w:cstheme="minorHAnsi"/>
          <w:bCs/>
          <w:color w:val="000000"/>
          <w:lang w:eastAsia="en-GB"/>
        </w:rPr>
        <w:t xml:space="preserve"> </w:t>
      </w:r>
    </w:p>
    <w:p w14:paraId="4C366098" w14:textId="61E1B7D9" w:rsidR="00D62C58" w:rsidRPr="00524229" w:rsidRDefault="00D62C58" w:rsidP="00B20BAE">
      <w:pPr>
        <w:ind w:left="567" w:hanging="567"/>
        <w:rPr>
          <w:rFonts w:eastAsia="Times New Roman" w:cstheme="minorHAnsi"/>
          <w:bCs/>
          <w:color w:val="000000"/>
          <w:lang w:eastAsia="en-GB"/>
        </w:rPr>
      </w:pPr>
      <w:r>
        <w:t xml:space="preserve">The Royal Society for the Prevention of Accidents. ‘Older People Safety’. Accessed in November 2016 via </w:t>
      </w:r>
      <w:r w:rsidRPr="000C3689">
        <w:t>http://www.rospa.com/home-safety/advice/older-people/</w:t>
      </w:r>
      <w:r>
        <w:rPr>
          <w:rStyle w:val="Hyperlink"/>
        </w:rPr>
        <w:t xml:space="preserve"> </w:t>
      </w:r>
    </w:p>
    <w:p w14:paraId="686274C4" w14:textId="77777777" w:rsidR="00F96DB2" w:rsidRPr="00524229" w:rsidRDefault="00F96DB2" w:rsidP="00524229">
      <w:pPr>
        <w:ind w:left="567" w:hanging="567"/>
        <w:rPr>
          <w:rFonts w:eastAsia="Times New Roman" w:cstheme="minorHAnsi"/>
          <w:bCs/>
          <w:color w:val="000000"/>
          <w:lang w:eastAsia="en-GB"/>
        </w:rPr>
      </w:pPr>
      <w:r w:rsidRPr="00524229">
        <w:rPr>
          <w:rFonts w:cstheme="minorHAnsi"/>
        </w:rPr>
        <w:t>Wanless, D. 2006. ‘Securing Good Care for Older People: Taking a long-term view’. London: King’s Fund.</w:t>
      </w:r>
      <w:r w:rsidRPr="00524229">
        <w:rPr>
          <w:rFonts w:eastAsia="Times New Roman" w:cstheme="minorHAnsi"/>
          <w:bCs/>
          <w:color w:val="000000"/>
          <w:lang w:eastAsia="en-GB"/>
        </w:rPr>
        <w:t xml:space="preserve"> </w:t>
      </w:r>
    </w:p>
    <w:p w14:paraId="24267266" w14:textId="3F078D4F" w:rsidR="00F96DB2" w:rsidRPr="00524229" w:rsidRDefault="00F96DB2" w:rsidP="00524229">
      <w:pPr>
        <w:ind w:left="567" w:hanging="567"/>
        <w:rPr>
          <w:rFonts w:eastAsia="Times New Roman" w:cstheme="minorHAnsi"/>
          <w:color w:val="000000"/>
          <w:lang w:eastAsia="en-GB"/>
        </w:rPr>
      </w:pPr>
      <w:r w:rsidRPr="00524229">
        <w:rPr>
          <w:rFonts w:eastAsia="Times New Roman" w:cstheme="minorHAnsi"/>
          <w:color w:val="000000"/>
          <w:lang w:eastAsia="en-GB"/>
        </w:rPr>
        <w:t xml:space="preserve">Williams, B., Copestake, P., Eversley, J. and Stafford, B. 2008. 'Experiences and Expectations of Disabled People: A research report for the Office of Disability Issues' London: Office for Disability. </w:t>
      </w:r>
    </w:p>
    <w:p w14:paraId="13FC3674" w14:textId="46B5ADAA" w:rsidR="00965174" w:rsidRDefault="00965174" w:rsidP="00361C02"/>
    <w:p w14:paraId="4CDE02EC" w14:textId="2F597097" w:rsidR="00965174" w:rsidRPr="00321E9B" w:rsidRDefault="2E454F28" w:rsidP="00321E9B">
      <w:pPr>
        <w:pStyle w:val="Heading2"/>
      </w:pPr>
      <w:r>
        <w:t>A3. Endnotes</w:t>
      </w:r>
    </w:p>
    <w:sectPr w:rsidR="00965174" w:rsidRPr="00321E9B" w:rsidSect="003656C2">
      <w:endnotePr>
        <w:numFmt w:val="decimal"/>
      </w:endnotePr>
      <w:pgSz w:w="11907" w:h="16840" w:code="9"/>
      <w:pgMar w:top="1429" w:right="1134" w:bottom="142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ADE48" w14:textId="77777777" w:rsidR="009C187B" w:rsidRDefault="009C187B" w:rsidP="00AE48C7">
      <w:r>
        <w:separator/>
      </w:r>
    </w:p>
  </w:endnote>
  <w:endnote w:type="continuationSeparator" w:id="0">
    <w:p w14:paraId="1DE23D7A" w14:textId="77777777" w:rsidR="009C187B" w:rsidRDefault="009C187B" w:rsidP="00AE48C7">
      <w:r>
        <w:continuationSeparator/>
      </w:r>
    </w:p>
  </w:endnote>
  <w:endnote w:type="continuationNotice" w:id="1">
    <w:p w14:paraId="11BDBC3D" w14:textId="77777777" w:rsidR="009C187B" w:rsidRDefault="009C187B">
      <w:pPr>
        <w:spacing w:before="0" w:after="0"/>
      </w:pPr>
    </w:p>
  </w:endnote>
  <w:endnote w:id="2">
    <w:p w14:paraId="76C25922" w14:textId="1AE94586" w:rsidR="00D37082" w:rsidRDefault="00D37082" w:rsidP="00AA0F3D">
      <w:pPr>
        <w:pStyle w:val="EndnoteText"/>
      </w:pPr>
      <w:r>
        <w:rPr>
          <w:rStyle w:val="EndnoteReference"/>
        </w:rPr>
        <w:endnoteRef/>
      </w:r>
      <w:r>
        <w:t xml:space="preserve">. </w:t>
      </w:r>
      <w:hyperlink r:id="rId1" w:history="1">
        <w:r w:rsidRPr="00CE6946">
          <w:rPr>
            <w:rStyle w:val="Hyperlink"/>
          </w:rPr>
          <w:t>https://rnib.org.uk/</w:t>
        </w:r>
      </w:hyperlink>
    </w:p>
    <w:p w14:paraId="1EE12094" w14:textId="77777777" w:rsidR="00D37082" w:rsidRDefault="00D37082" w:rsidP="00AA0F3D">
      <w:pPr>
        <w:pStyle w:val="EndnoteText"/>
      </w:pPr>
    </w:p>
  </w:endnote>
  <w:endnote w:id="3">
    <w:p w14:paraId="0C350531" w14:textId="2B6B6153" w:rsidR="00D37082" w:rsidRDefault="00D37082">
      <w:pPr>
        <w:pStyle w:val="EndnoteText"/>
      </w:pPr>
      <w:r>
        <w:rPr>
          <w:rStyle w:val="EndnoteReference"/>
        </w:rPr>
        <w:endnoteRef/>
      </w:r>
      <w:r>
        <w:t xml:space="preserve">. </w:t>
      </w:r>
      <w:hyperlink r:id="rId2" w:history="1">
        <w:r w:rsidRPr="00CE6946">
          <w:rPr>
            <w:rStyle w:val="Hyperlink"/>
          </w:rPr>
          <w:t>https://www.sightforsurrey.org.uk</w:t>
        </w:r>
      </w:hyperlink>
    </w:p>
    <w:p w14:paraId="7953F2FB" w14:textId="77777777" w:rsidR="00D37082" w:rsidRDefault="00D37082">
      <w:pPr>
        <w:pStyle w:val="EndnoteText"/>
      </w:pPr>
    </w:p>
  </w:endnote>
  <w:endnote w:id="4">
    <w:p w14:paraId="2FAEB4D0" w14:textId="5C09FCD6" w:rsidR="00D37082" w:rsidRDefault="00D37082" w:rsidP="00AB49E8">
      <w:pPr>
        <w:pStyle w:val="EndnoteText"/>
      </w:pPr>
      <w:r>
        <w:rPr>
          <w:rStyle w:val="EndnoteReference"/>
        </w:rPr>
        <w:endnoteRef/>
      </w:r>
      <w:r>
        <w:t xml:space="preserve">. </w:t>
      </w:r>
      <w:hyperlink r:id="rId3" w:history="1">
        <w:r w:rsidRPr="00CE6946">
          <w:rPr>
            <w:rStyle w:val="Hyperlink"/>
          </w:rPr>
          <w:t>https://knowhownonprofit.org/organisation/impact/about-impact-and-evaluation/understanding-the-language</w:t>
        </w:r>
      </w:hyperlink>
    </w:p>
    <w:p w14:paraId="6CA3700E" w14:textId="77777777" w:rsidR="00D37082" w:rsidRDefault="00D37082" w:rsidP="00AB49E8">
      <w:pPr>
        <w:pStyle w:val="EndnoteText"/>
      </w:pPr>
    </w:p>
  </w:endnote>
  <w:endnote w:id="5">
    <w:p w14:paraId="484188F5" w14:textId="1178E5B8" w:rsidR="00D37082" w:rsidRDefault="00D37082" w:rsidP="005102D2">
      <w:pPr>
        <w:pStyle w:val="EndnoteText"/>
      </w:pPr>
      <w:r>
        <w:rPr>
          <w:rStyle w:val="EndnoteReference"/>
        </w:rPr>
        <w:endnoteRef/>
      </w:r>
      <w:r>
        <w:t xml:space="preserve">. </w:t>
      </w:r>
      <w:hyperlink r:id="rId4" w:history="1">
        <w:r w:rsidRPr="00CE6946">
          <w:rPr>
            <w:rStyle w:val="Hyperlink"/>
          </w:rPr>
          <w:t>https://knowhownonprofit.org/organisation/impact/about-impact-and-evaluation/understanding-the-language</w:t>
        </w:r>
      </w:hyperlink>
    </w:p>
    <w:p w14:paraId="3017029D" w14:textId="77777777" w:rsidR="00D37082" w:rsidRDefault="00D37082" w:rsidP="005102D2">
      <w:pPr>
        <w:pStyle w:val="EndnoteText"/>
      </w:pPr>
    </w:p>
  </w:endnote>
  <w:endnote w:id="6">
    <w:p w14:paraId="4FC6F6A8" w14:textId="08F7B27B" w:rsidR="00D37082" w:rsidRDefault="00D37082" w:rsidP="00A32C9C">
      <w:pPr>
        <w:pStyle w:val="EndnoteText"/>
      </w:pPr>
      <w:r>
        <w:rPr>
          <w:rStyle w:val="EndnoteReference"/>
        </w:rPr>
        <w:endnoteRef/>
      </w:r>
      <w:r>
        <w:t xml:space="preserve">. </w:t>
      </w:r>
      <w:r w:rsidRPr="00587443">
        <w:t>Sight for Surrey’s record keeping system counts referrals from specialist assessment to different strands of in-depth rehabilitation, not the number of individuals that are referred. Refer to Section 4.1 for more detail on Sight for Surrey’s approach to in-depth rehabilitation</w:t>
      </w:r>
      <w:r>
        <w:t xml:space="preserve"> and therefore how these calculations were made</w:t>
      </w:r>
      <w:r w:rsidRPr="00587443">
        <w:t xml:space="preserve">.  </w:t>
      </w:r>
    </w:p>
    <w:p w14:paraId="4C0F93DD" w14:textId="77777777" w:rsidR="00D37082" w:rsidRDefault="00D37082" w:rsidP="00A32C9C">
      <w:pPr>
        <w:pStyle w:val="EndnoteText"/>
      </w:pPr>
    </w:p>
  </w:endnote>
  <w:endnote w:id="7">
    <w:p w14:paraId="066CD24C" w14:textId="52A9F96D" w:rsidR="00D37082" w:rsidRDefault="00D37082">
      <w:pPr>
        <w:pStyle w:val="EndnoteText"/>
      </w:pPr>
      <w:r>
        <w:rPr>
          <w:rStyle w:val="EndnoteReference"/>
        </w:rPr>
        <w:endnoteRef/>
      </w:r>
      <w:r>
        <w:t xml:space="preserve">. Totals are rounded to the nearest percentage and therefore contain some rounding error. </w:t>
      </w:r>
    </w:p>
    <w:p w14:paraId="4CC1A37B" w14:textId="77777777" w:rsidR="00D37082" w:rsidRDefault="00D37082">
      <w:pPr>
        <w:pStyle w:val="EndnoteText"/>
      </w:pPr>
    </w:p>
  </w:endnote>
  <w:endnote w:id="8">
    <w:p w14:paraId="0AA46631" w14:textId="426ACD9D" w:rsidR="00D37082" w:rsidRDefault="00D37082" w:rsidP="00675B96">
      <w:pPr>
        <w:pStyle w:val="EndnoteText"/>
      </w:pPr>
      <w:r>
        <w:rPr>
          <w:rStyle w:val="EndnoteReference"/>
        </w:rPr>
        <w:endnoteRef/>
      </w:r>
      <w:r>
        <w:t xml:space="preserve">. This includes only costs borne by Sight for Surrey and not those paid by service users. </w:t>
      </w:r>
    </w:p>
    <w:p w14:paraId="54A5DFBF" w14:textId="77777777" w:rsidR="00D37082" w:rsidRDefault="00D37082" w:rsidP="00675B96">
      <w:pPr>
        <w:pStyle w:val="EndnoteText"/>
      </w:pPr>
    </w:p>
  </w:endnote>
  <w:endnote w:id="9">
    <w:p w14:paraId="106D44F8" w14:textId="5D4D8D66" w:rsidR="00D37082" w:rsidRDefault="00D37082" w:rsidP="00D37B69">
      <w:pPr>
        <w:pStyle w:val="EndnoteText"/>
      </w:pPr>
      <w:r>
        <w:rPr>
          <w:rStyle w:val="EndnoteReference"/>
        </w:rPr>
        <w:endnoteRef/>
      </w:r>
      <w:r>
        <w:t xml:space="preserve">. </w:t>
      </w:r>
      <w:r w:rsidRPr="007C5525">
        <w:t xml:space="preserve">Rabiee, </w:t>
      </w:r>
      <w:r>
        <w:t>et al. 2015.</w:t>
      </w:r>
      <w:r w:rsidRPr="001374C1">
        <w:t xml:space="preserve"> </w:t>
      </w:r>
    </w:p>
    <w:p w14:paraId="62D9732D" w14:textId="77777777" w:rsidR="00D37082" w:rsidRPr="007C5525" w:rsidRDefault="00D37082" w:rsidP="00D37B69">
      <w:pPr>
        <w:pStyle w:val="EndnoteText"/>
        <w:rPr>
          <w:lang w:eastAsia="en-GB"/>
        </w:rPr>
      </w:pPr>
    </w:p>
  </w:endnote>
  <w:endnote w:id="10">
    <w:p w14:paraId="4AFBA281" w14:textId="2647F78A" w:rsidR="00D37082" w:rsidRDefault="00D37082" w:rsidP="00D37B69">
      <w:pPr>
        <w:pStyle w:val="EndnoteText"/>
      </w:pPr>
      <w:r>
        <w:rPr>
          <w:rStyle w:val="EndnoteReference"/>
        </w:rPr>
        <w:endnoteRef/>
      </w:r>
      <w:r>
        <w:t xml:space="preserve">. Francis, Fisher &amp; Rutter. 2014. </w:t>
      </w:r>
    </w:p>
    <w:p w14:paraId="1ECE39FF" w14:textId="77777777" w:rsidR="00D37082" w:rsidRPr="009625FE" w:rsidRDefault="00D37082" w:rsidP="00D37B69">
      <w:pPr>
        <w:pStyle w:val="EndnoteText"/>
      </w:pPr>
    </w:p>
  </w:endnote>
  <w:endnote w:id="11">
    <w:p w14:paraId="1BA802B5" w14:textId="682281C5" w:rsidR="00D37082" w:rsidRDefault="00D37082" w:rsidP="00084B0C">
      <w:pPr>
        <w:pStyle w:val="EndnoteText"/>
      </w:pPr>
      <w:r>
        <w:rPr>
          <w:rStyle w:val="EndnoteReference"/>
        </w:rPr>
        <w:endnoteRef/>
      </w:r>
      <w:r>
        <w:t>. The figures in Table 6 are drawn from conservative calculations of the value of costs avoided in each impact area generated using a percentile approach with the assumption that just 10% of service users likely to experience an outcome actually experience it. The technical appendix to this report includes scenarios based on less conservative calculations where, for example, 25%, 50%, 75% and 100%</w:t>
      </w:r>
      <w:r w:rsidRPr="00EF5936">
        <w:t xml:space="preserve"> </w:t>
      </w:r>
      <w:r>
        <w:t xml:space="preserve">of service users likely to experience an outcome actually experience it.  </w:t>
      </w:r>
    </w:p>
    <w:p w14:paraId="5C332E3C" w14:textId="77777777" w:rsidR="00D37082" w:rsidRDefault="00D37082" w:rsidP="00084B0C">
      <w:pPr>
        <w:pStyle w:val="EndnoteText"/>
      </w:pPr>
    </w:p>
  </w:endnote>
  <w:endnote w:id="12">
    <w:p w14:paraId="177C9121" w14:textId="6B643381" w:rsidR="00D37082" w:rsidRDefault="00D37082" w:rsidP="00084B0C">
      <w:pPr>
        <w:pStyle w:val="EndnoteText"/>
      </w:pPr>
      <w:r>
        <w:rPr>
          <w:rStyle w:val="EndnoteReference"/>
        </w:rPr>
        <w:endnoteRef/>
      </w:r>
      <w:r>
        <w:t>. Figures have been rounded to the nearest whole number, therefore totals may have rounding errors.</w:t>
      </w:r>
    </w:p>
  </w:endnote>
  <w:endnote w:id="13">
    <w:p w14:paraId="252AB0F3" w14:textId="42C75C6B" w:rsidR="00D37082" w:rsidRDefault="00D37082">
      <w:pPr>
        <w:pStyle w:val="EndnoteText"/>
      </w:pPr>
      <w:r>
        <w:rPr>
          <w:rStyle w:val="EndnoteReference"/>
        </w:rPr>
        <w:endnoteRef/>
      </w:r>
      <w:r>
        <w:t>. RNIB (</w:t>
      </w:r>
      <w:r w:rsidRPr="002F2E7C">
        <w:t>2015</w:t>
      </w:r>
      <w:r>
        <w:t>)</w:t>
      </w:r>
      <w:r w:rsidRPr="002F2E7C">
        <w:t xml:space="preserve"> </w:t>
      </w:r>
      <w:r>
        <w:t xml:space="preserve">My Voice: </w:t>
      </w:r>
      <w:r w:rsidRPr="002F2E7C">
        <w:t>The views and experiences of blind and partially sighted people in the UK: John Sl</w:t>
      </w:r>
      <w:r>
        <w:t>ade and Rose Edwards: RNIB.</w:t>
      </w:r>
    </w:p>
    <w:p w14:paraId="7A7C2F0F" w14:textId="77777777" w:rsidR="00D37082" w:rsidRDefault="00D37082">
      <w:pPr>
        <w:pStyle w:val="EndnoteText"/>
      </w:pPr>
    </w:p>
  </w:endnote>
  <w:endnote w:id="14">
    <w:p w14:paraId="1F666E7C" w14:textId="57757EDF" w:rsidR="00D37082" w:rsidRDefault="00D37082">
      <w:pPr>
        <w:pStyle w:val="EndnoteText"/>
      </w:pPr>
      <w:r>
        <w:rPr>
          <w:rStyle w:val="EndnoteReference"/>
        </w:rPr>
        <w:endnoteRef/>
      </w:r>
      <w:r>
        <w:t xml:space="preserve">. RNIB (2016) </w:t>
      </w:r>
      <w:r w:rsidRPr="006A141D">
        <w:t>10 Principles of Good Practice in Vision Rehabilitation</w:t>
      </w:r>
      <w:r>
        <w:t>.</w:t>
      </w:r>
    </w:p>
    <w:p w14:paraId="7FBB1C7E" w14:textId="77777777" w:rsidR="00D37082" w:rsidRDefault="00D37082">
      <w:pPr>
        <w:pStyle w:val="EndnoteText"/>
      </w:pPr>
    </w:p>
  </w:endnote>
  <w:endnote w:id="15">
    <w:p w14:paraId="02F7C45D" w14:textId="1DEDAB6B" w:rsidR="00D37082" w:rsidRDefault="00D37082">
      <w:pPr>
        <w:pStyle w:val="EndnoteText"/>
      </w:pPr>
      <w:r>
        <w:rPr>
          <w:rStyle w:val="EndnoteReference"/>
        </w:rPr>
        <w:endnoteRef/>
      </w:r>
      <w:r>
        <w:t>. From RNIB Freedom of Information research.</w:t>
      </w:r>
    </w:p>
    <w:p w14:paraId="213A94B6" w14:textId="77777777" w:rsidR="00D37082" w:rsidRDefault="00D37082">
      <w:pPr>
        <w:pStyle w:val="EndnoteText"/>
      </w:pPr>
    </w:p>
  </w:endnote>
  <w:endnote w:id="16">
    <w:p w14:paraId="490A7CAE" w14:textId="45C3B177" w:rsidR="00D37082" w:rsidRDefault="00D37082" w:rsidP="004F4260">
      <w:pPr>
        <w:pStyle w:val="EndnoteText"/>
      </w:pPr>
      <w:r>
        <w:rPr>
          <w:rStyle w:val="EndnoteReference"/>
        </w:rPr>
        <w:endnoteRef/>
      </w:r>
      <w:r>
        <w:t xml:space="preserve">. HM Treasury (2011) </w:t>
      </w:r>
      <w:r w:rsidRPr="00D37B69">
        <w:t>The Magenta Book: Guidance for Evaluation</w:t>
      </w:r>
      <w:r>
        <w:t xml:space="preserve">, London: HM Treasury. (This used to be published by the Cabinet Office). Available from: </w:t>
      </w:r>
      <w:hyperlink r:id="rId5" w:history="1">
        <w:r w:rsidRPr="005B1438">
          <w:rPr>
            <w:rStyle w:val="Hyperlink"/>
          </w:rPr>
          <w:t>https://www.gov.uk/government/uploads/system/uploads/attachment_data/file/179379/magenta_book_combined.pdf.pdf</w:t>
        </w:r>
      </w:hyperlink>
      <w:r>
        <w:t xml:space="preserve"> </w:t>
      </w:r>
    </w:p>
    <w:p w14:paraId="2F06C148" w14:textId="77777777" w:rsidR="00D37082" w:rsidRPr="00B30AE7" w:rsidRDefault="00D37082" w:rsidP="004F4260">
      <w:pPr>
        <w:pStyle w:val="EndnoteText"/>
      </w:pPr>
    </w:p>
  </w:endnote>
  <w:endnote w:id="17">
    <w:p w14:paraId="0325D14E" w14:textId="227A7F91" w:rsidR="00D37082" w:rsidRDefault="00D37082">
      <w:pPr>
        <w:pStyle w:val="EndnoteText"/>
      </w:pPr>
      <w:r>
        <w:rPr>
          <w:rStyle w:val="EndnoteReference"/>
        </w:rPr>
        <w:endnoteRef/>
      </w:r>
      <w:r>
        <w:t>. HM Treasury (</w:t>
      </w:r>
      <w:r w:rsidRPr="00805C2B">
        <w:t>20</w:t>
      </w:r>
      <w:r>
        <w:t xml:space="preserve">03) </w:t>
      </w:r>
      <w:r w:rsidRPr="00321E9B">
        <w:t>The Green Book: Appraisal and Evaluation in Central Government</w:t>
      </w:r>
      <w:r>
        <w:rPr>
          <w:i/>
        </w:rPr>
        <w:t>.</w:t>
      </w:r>
      <w:r>
        <w:t xml:space="preserve"> London: HM Treasury. </w:t>
      </w:r>
    </w:p>
    <w:p w14:paraId="6619BA1C" w14:textId="77777777" w:rsidR="00D37082" w:rsidRPr="00891883" w:rsidRDefault="00D37082">
      <w:pPr>
        <w:pStyle w:val="EndnoteText"/>
      </w:pPr>
    </w:p>
  </w:endnote>
  <w:endnote w:id="18">
    <w:p w14:paraId="3CE401E3" w14:textId="0955FCEF" w:rsidR="00D37082" w:rsidRDefault="00D37082" w:rsidP="00805C2B">
      <w:pPr>
        <w:pStyle w:val="EndnoteText"/>
      </w:pPr>
      <w:r>
        <w:rPr>
          <w:rStyle w:val="EndnoteReference"/>
        </w:rPr>
        <w:endnoteRef/>
      </w:r>
      <w:r>
        <w:t>. An indirect cost is one which is incurred by an individual or an organisation unrelated to an intervention as a result of the activities/outputs produced by those delivering an intervention. For example, a successful information and advice service can lead to increased contacts made by those using the information service to other agencies. This increases the workload of other agencies who have to resource this; thereby contributing to the success of the information and advice service. These inputs are usually ‘in-kind’ and not enacted as direct financial transactions.</w:t>
      </w:r>
    </w:p>
    <w:p w14:paraId="03FD8DF2" w14:textId="77777777" w:rsidR="00D37082" w:rsidRDefault="00D37082" w:rsidP="00805C2B">
      <w:pPr>
        <w:pStyle w:val="EndnoteText"/>
      </w:pPr>
    </w:p>
  </w:endnote>
  <w:endnote w:id="19">
    <w:p w14:paraId="432BF372" w14:textId="7E638426" w:rsidR="00D37082" w:rsidRDefault="00D37082" w:rsidP="00805C2B">
      <w:pPr>
        <w:pStyle w:val="EndnoteText"/>
      </w:pPr>
      <w:r>
        <w:rPr>
          <w:rStyle w:val="EndnoteReference"/>
        </w:rPr>
        <w:endnoteRef/>
      </w:r>
      <w:r>
        <w:t>. The principle of ‘additionality’ is fundamental to economic assessments. This means that we need to be sure that we are calculating costs in relation to the cost that would have been incurred in the absence of the intervention. A number</w:t>
      </w:r>
      <w:r>
        <w:rPr>
          <w:sz w:val="24"/>
        </w:rPr>
        <w:t xml:space="preserve"> </w:t>
      </w:r>
      <w:r>
        <w:t>of assumptions need to be made (and subsequently tested through primary research), including (a) that there has not been any re-allocation of non-intervention resources away from other forms of related (but non-intervention) activities; (b) that all identified intervention resources are in fact allocated to the intervention specifically; and (c) that in instances where intervention resources have been used on non-intervention activities, there has not been any reallocation of other non-intervention resources away from such activities.</w:t>
      </w:r>
    </w:p>
  </w:endnote>
  <w:endnote w:id="20">
    <w:p w14:paraId="0C2625BD" w14:textId="7190F261" w:rsidR="00D37082" w:rsidRDefault="00D37082">
      <w:pPr>
        <w:pStyle w:val="EndnoteText"/>
      </w:pPr>
      <w:r>
        <w:rPr>
          <w:rStyle w:val="EndnoteReference"/>
        </w:rPr>
        <w:endnoteRef/>
      </w:r>
      <w:r>
        <w:t>. This encourages us to be aware of the risk of over-claiming benefits.</w:t>
      </w:r>
    </w:p>
    <w:p w14:paraId="3EB9E8C8" w14:textId="77777777" w:rsidR="00D37082" w:rsidRDefault="00D37082">
      <w:pPr>
        <w:pStyle w:val="EndnoteText"/>
      </w:pPr>
    </w:p>
  </w:endnote>
  <w:endnote w:id="21">
    <w:p w14:paraId="46C59CF5" w14:textId="39429D1D" w:rsidR="00D37082" w:rsidRDefault="00D37082">
      <w:pPr>
        <w:pStyle w:val="EndnoteText"/>
      </w:pPr>
      <w:r>
        <w:rPr>
          <w:rStyle w:val="EndnoteReference"/>
        </w:rPr>
        <w:endnoteRef/>
      </w:r>
      <w:r>
        <w:t>. This means exploring or testing whether a finding holds true when the underpinning assumptions or financial values used are modified within a reported range.</w:t>
      </w:r>
    </w:p>
    <w:p w14:paraId="0A111032" w14:textId="77777777" w:rsidR="00D37082" w:rsidRDefault="00D37082">
      <w:pPr>
        <w:pStyle w:val="EndnoteText"/>
      </w:pPr>
    </w:p>
  </w:endnote>
  <w:endnote w:id="22">
    <w:p w14:paraId="00E483F9" w14:textId="51973569" w:rsidR="00D37082" w:rsidRDefault="00D37082">
      <w:pPr>
        <w:pStyle w:val="EndnoteText"/>
      </w:pPr>
      <w:r>
        <w:rPr>
          <w:rStyle w:val="EndnoteReference"/>
        </w:rPr>
        <w:endnoteRef/>
      </w:r>
      <w:r>
        <w:t xml:space="preserve">. This figure is an approximation of the amount of Sight for Surrey 2015/16 service users who received only equipment and did not progress to further in-depth rehabilitation sessions; no actual figures are available. It is based on combining information from interviews with Sight for Surrey professional staff with Sight for Surrey data on their 2015/16 service usage numbers.    </w:t>
      </w:r>
    </w:p>
    <w:p w14:paraId="2C2A27F1" w14:textId="77777777" w:rsidR="00D37082" w:rsidRDefault="00D37082">
      <w:pPr>
        <w:pStyle w:val="EndnoteText"/>
      </w:pPr>
    </w:p>
  </w:endnote>
  <w:endnote w:id="23">
    <w:p w14:paraId="49FE7927" w14:textId="1D478D80" w:rsidR="00D37082" w:rsidRDefault="00D37082" w:rsidP="00C87089">
      <w:pPr>
        <w:pStyle w:val="EndnoteText"/>
      </w:pPr>
      <w:r>
        <w:rPr>
          <w:rStyle w:val="EndnoteReference"/>
        </w:rPr>
        <w:endnoteRef/>
      </w:r>
      <w:r>
        <w:t>. Such as the Personal Social Services Research Unit that operates as a partnership between the London School of Economics and Political Science, the University of Kent and the University of Manchester.</w:t>
      </w:r>
    </w:p>
    <w:p w14:paraId="70632768" w14:textId="2067D260" w:rsidR="00D37082" w:rsidRDefault="00D37082" w:rsidP="00C87089">
      <w:pPr>
        <w:pStyle w:val="EndnoteText"/>
      </w:pPr>
      <w:r>
        <w:t xml:space="preserve"> </w:t>
      </w:r>
    </w:p>
  </w:endnote>
  <w:endnote w:id="24">
    <w:p w14:paraId="1A1935FA" w14:textId="77823288" w:rsidR="00D37082" w:rsidRDefault="00D37082">
      <w:pPr>
        <w:pStyle w:val="EndnoteText"/>
      </w:pPr>
      <w:r>
        <w:rPr>
          <w:rStyle w:val="EndnoteReference"/>
        </w:rPr>
        <w:endnoteRef/>
      </w:r>
      <w:r>
        <w:t>. Based on 2015/16 figures.</w:t>
      </w:r>
    </w:p>
    <w:p w14:paraId="0D784909" w14:textId="77777777" w:rsidR="00D37082" w:rsidRDefault="00D37082">
      <w:pPr>
        <w:pStyle w:val="EndnoteText"/>
      </w:pPr>
    </w:p>
  </w:endnote>
  <w:endnote w:id="25">
    <w:p w14:paraId="7830B16B" w14:textId="12447369" w:rsidR="00D37082" w:rsidRDefault="00D37082">
      <w:pPr>
        <w:pStyle w:val="EndnoteText"/>
      </w:pPr>
      <w:r>
        <w:rPr>
          <w:rStyle w:val="EndnoteReference"/>
        </w:rPr>
        <w:endnoteRef/>
      </w:r>
      <w:r>
        <w:t>. Sight for Surrey are in the process of streamlining the specialist assessment process, changing to one visit in most cases, by issuing rehabilitation workers with a standard set of equipment that can be provided as part of a single visit. A second specialist assessment visit will then only be needed if more specialist equipment if required.</w:t>
      </w:r>
    </w:p>
    <w:p w14:paraId="31CFDF1D" w14:textId="42E2219F" w:rsidR="00D37082" w:rsidRDefault="00D37082">
      <w:pPr>
        <w:pStyle w:val="EndnoteText"/>
      </w:pPr>
      <w:r>
        <w:t xml:space="preserve">  </w:t>
      </w:r>
    </w:p>
  </w:endnote>
  <w:endnote w:id="26">
    <w:p w14:paraId="453BBCEC" w14:textId="6602DE4D" w:rsidR="00D37082" w:rsidRDefault="00D37082">
      <w:pPr>
        <w:pStyle w:val="EndnoteText"/>
        <w:rPr>
          <w:bCs/>
        </w:rPr>
      </w:pPr>
      <w:r>
        <w:rPr>
          <w:rStyle w:val="EndnoteReference"/>
        </w:rPr>
        <w:endnoteRef/>
      </w:r>
      <w:r>
        <w:t>. The estimate comes from interviews with Service Managers and administrative staff. I</w:t>
      </w:r>
      <w:r w:rsidRPr="009E440A">
        <w:rPr>
          <w:bCs/>
        </w:rPr>
        <w:t>n 2015/16 Sight for Surrey were not required to monitor number of re-referrals</w:t>
      </w:r>
      <w:r>
        <w:rPr>
          <w:bCs/>
        </w:rPr>
        <w:t xml:space="preserve"> to their vision rehabilitation service.</w:t>
      </w:r>
    </w:p>
    <w:p w14:paraId="1B519265" w14:textId="77777777" w:rsidR="00D37082" w:rsidRDefault="00D37082">
      <w:pPr>
        <w:pStyle w:val="EndnoteText"/>
      </w:pPr>
    </w:p>
  </w:endnote>
  <w:endnote w:id="27">
    <w:p w14:paraId="1BD79FB7" w14:textId="1BDA9852" w:rsidR="00D37082" w:rsidRDefault="00D37082">
      <w:pPr>
        <w:pStyle w:val="EndnoteText"/>
      </w:pPr>
      <w:r>
        <w:rPr>
          <w:rStyle w:val="EndnoteReference"/>
        </w:rPr>
        <w:endnoteRef/>
      </w:r>
      <w:r>
        <w:t>. This is due to Sight for Surrey measuring activity per month, not per service user. The record-keeping system counts referrals (from any of the vision rehabilitation stages) into the different types of in-depth rehabilitation, not the number of individuals that are referred to the in-depth rehabilitation stage.</w:t>
      </w:r>
    </w:p>
    <w:p w14:paraId="4A589F31" w14:textId="27950B1A" w:rsidR="00D37082" w:rsidRDefault="00D37082">
      <w:pPr>
        <w:pStyle w:val="EndnoteText"/>
      </w:pPr>
      <w:r w:rsidRPr="00BA6C69">
        <w:t xml:space="preserve">     </w:t>
      </w:r>
    </w:p>
  </w:endnote>
  <w:endnote w:id="28">
    <w:p w14:paraId="3CFC0EBB" w14:textId="43DB9A13" w:rsidR="00D37082" w:rsidRDefault="00D37082">
      <w:pPr>
        <w:pStyle w:val="EndnoteText"/>
      </w:pPr>
      <w:r>
        <w:rPr>
          <w:rStyle w:val="EndnoteReference"/>
        </w:rPr>
        <w:endnoteRef/>
      </w:r>
      <w:r>
        <w:t xml:space="preserve">. </w:t>
      </w:r>
      <w:r w:rsidRPr="00BA6C69">
        <w:t>Th</w:t>
      </w:r>
      <w:r>
        <w:t>is</w:t>
      </w:r>
      <w:r w:rsidRPr="00BA6C69">
        <w:t xml:space="preserve"> f</w:t>
      </w:r>
      <w:r>
        <w:t>igure does not capture how</w:t>
      </w:r>
      <w:r w:rsidRPr="00BA6C69">
        <w:t xml:space="preserve"> </w:t>
      </w:r>
      <w:r>
        <w:t xml:space="preserve">many </w:t>
      </w:r>
      <w:r w:rsidRPr="00BA6C69">
        <w:t xml:space="preserve">visits </w:t>
      </w:r>
      <w:r>
        <w:t xml:space="preserve">it takes to </w:t>
      </w:r>
      <w:r w:rsidRPr="00BA6C69">
        <w:t xml:space="preserve">deliver </w:t>
      </w:r>
      <w:r>
        <w:t xml:space="preserve">an </w:t>
      </w:r>
      <w:r w:rsidRPr="00BA6C69">
        <w:t>in-depth rehabilitation</w:t>
      </w:r>
      <w:r>
        <w:t xml:space="preserve"> referral</w:t>
      </w:r>
      <w:r w:rsidRPr="00BA6C69">
        <w:t>, with any</w:t>
      </w:r>
      <w:r>
        <w:t xml:space="preserve"> one</w:t>
      </w:r>
      <w:r w:rsidRPr="00BA6C69">
        <w:t xml:space="preserve"> in-depth rehabilitation referral taking between one and </w:t>
      </w:r>
      <w:r>
        <w:t>30</w:t>
      </w:r>
      <w:r w:rsidRPr="00BA6C69">
        <w:t xml:space="preserve"> face-to-face contacts with the client to complete. Using estimates of the </w:t>
      </w:r>
      <w:r>
        <w:t>number</w:t>
      </w:r>
      <w:r w:rsidRPr="00BA6C69">
        <w:t xml:space="preserve"> of hours taken for staff to complete the most time intensive, the least time intensive and the ‘average’ cases, Sight for Surrey estimate that a total of 24,112 hours of staff time</w:t>
      </w:r>
      <w:r>
        <w:t xml:space="preserve"> are spent on in-depth rehabilitation</w:t>
      </w:r>
      <w:r w:rsidRPr="00BA6C69">
        <w:t>.</w:t>
      </w:r>
    </w:p>
    <w:p w14:paraId="1B0B0D0C" w14:textId="77777777" w:rsidR="00D37082" w:rsidRDefault="00D37082">
      <w:pPr>
        <w:pStyle w:val="EndnoteText"/>
      </w:pPr>
    </w:p>
  </w:endnote>
  <w:endnote w:id="29">
    <w:p w14:paraId="74F0C943" w14:textId="7258758A" w:rsidR="00D37082" w:rsidRDefault="00D37082">
      <w:pPr>
        <w:pStyle w:val="EndnoteText"/>
      </w:pPr>
      <w:r>
        <w:rPr>
          <w:rStyle w:val="EndnoteReference"/>
        </w:rPr>
        <w:endnoteRef/>
      </w:r>
      <w:r>
        <w:t xml:space="preserve">. </w:t>
      </w:r>
      <w:r>
        <w:rPr>
          <w:lang w:val="en-US"/>
        </w:rPr>
        <w:t xml:space="preserve">All </w:t>
      </w:r>
      <w:r>
        <w:t xml:space="preserve">financial values reported are 2015/16 market values. </w:t>
      </w:r>
    </w:p>
    <w:p w14:paraId="50EC3FEC" w14:textId="77777777" w:rsidR="00D37082" w:rsidRPr="009C3F01" w:rsidRDefault="00D37082">
      <w:pPr>
        <w:pStyle w:val="EndnoteText"/>
        <w:rPr>
          <w:lang w:val="en-US"/>
        </w:rPr>
      </w:pPr>
    </w:p>
  </w:endnote>
  <w:endnote w:id="30">
    <w:p w14:paraId="6474347B" w14:textId="379C2D7C" w:rsidR="00D37082" w:rsidRDefault="00D37082">
      <w:pPr>
        <w:pStyle w:val="EndnoteText"/>
        <w:rPr>
          <w:lang w:val="en-US"/>
        </w:rPr>
      </w:pPr>
      <w:r>
        <w:rPr>
          <w:rStyle w:val="EndnoteReference"/>
        </w:rPr>
        <w:endnoteRef/>
      </w:r>
      <w:r>
        <w:t xml:space="preserve">. </w:t>
      </w:r>
      <w:r w:rsidRPr="00930D18">
        <w:t xml:space="preserve">We have </w:t>
      </w:r>
      <w:r>
        <w:t>calculated</w:t>
      </w:r>
      <w:r w:rsidRPr="00930D18">
        <w:t xml:space="preserve"> overheads </w:t>
      </w:r>
      <w:r>
        <w:t>for the service as</w:t>
      </w:r>
      <w:r w:rsidRPr="00930D18">
        <w:t xml:space="preserve"> </w:t>
      </w:r>
      <w:r>
        <w:t>a proportion of</w:t>
      </w:r>
      <w:r w:rsidRPr="00930D18">
        <w:t xml:space="preserve"> the </w:t>
      </w:r>
      <w:r>
        <w:t>total salary costs following on from the findings of a</w:t>
      </w:r>
      <w:r w:rsidRPr="00930D18">
        <w:rPr>
          <w:lang w:val="en-US"/>
        </w:rPr>
        <w:t xml:space="preserve"> recent University of York Social Policy Research Unit survey of vision rehabilitation services across the UK (Rabiee et al, 2015) </w:t>
      </w:r>
      <w:r>
        <w:rPr>
          <w:lang w:val="en-US"/>
        </w:rPr>
        <w:t xml:space="preserve">which </w:t>
      </w:r>
      <w:r w:rsidRPr="00930D18">
        <w:rPr>
          <w:lang w:val="en-US"/>
        </w:rPr>
        <w:t>showed that, on average, overheads for vision rehabilitation services equate to ab</w:t>
      </w:r>
      <w:r>
        <w:rPr>
          <w:lang w:val="en-US"/>
        </w:rPr>
        <w:t>out 30% of total salary costs.</w:t>
      </w:r>
    </w:p>
    <w:p w14:paraId="07448F5A" w14:textId="77777777" w:rsidR="00D37082" w:rsidRDefault="00D37082">
      <w:pPr>
        <w:pStyle w:val="EndnoteText"/>
      </w:pPr>
    </w:p>
  </w:endnote>
  <w:endnote w:id="31">
    <w:p w14:paraId="017A7B6A" w14:textId="0A53F9DF" w:rsidR="00D37082" w:rsidRDefault="00D37082" w:rsidP="00163318">
      <w:pPr>
        <w:pStyle w:val="EndnoteText"/>
      </w:pPr>
      <w:r>
        <w:rPr>
          <w:rStyle w:val="EndnoteReference"/>
        </w:rPr>
        <w:endnoteRef/>
      </w:r>
      <w:r>
        <w:t>. The midpoint of the minimum to maximum calculated cost range will be used throughout the report as the total cost of the Sight for Surrey vision rehabilitation service.</w:t>
      </w:r>
    </w:p>
    <w:p w14:paraId="7D18BDE9" w14:textId="77777777" w:rsidR="00D37082" w:rsidRDefault="00D37082" w:rsidP="00163318">
      <w:pPr>
        <w:pStyle w:val="EndnoteText"/>
      </w:pPr>
    </w:p>
  </w:endnote>
  <w:endnote w:id="32">
    <w:p w14:paraId="0CF69590" w14:textId="32C5D5A7" w:rsidR="00D37082" w:rsidRDefault="00D37082">
      <w:pPr>
        <w:pStyle w:val="EndnoteText"/>
      </w:pPr>
      <w:r>
        <w:rPr>
          <w:rStyle w:val="EndnoteReference"/>
        </w:rPr>
        <w:endnoteRef/>
      </w:r>
      <w:r>
        <w:t>. The minimum cost per referral is £1,047 and the maximum cost per referral is £1,553.</w:t>
      </w:r>
    </w:p>
    <w:p w14:paraId="6AA2378A" w14:textId="77777777" w:rsidR="00D37082" w:rsidRDefault="00D37082">
      <w:pPr>
        <w:pStyle w:val="EndnoteText"/>
      </w:pPr>
    </w:p>
  </w:endnote>
  <w:endnote w:id="33">
    <w:p w14:paraId="7CE97271" w14:textId="5F83295E" w:rsidR="00D37082" w:rsidRDefault="00D37082" w:rsidP="00FB666B">
      <w:pPr>
        <w:pStyle w:val="EndnoteText"/>
      </w:pPr>
      <w:r>
        <w:rPr>
          <w:rStyle w:val="EndnoteReference"/>
        </w:rPr>
        <w:endnoteRef/>
      </w:r>
      <w:r>
        <w:t>. This does not include any equipment related costs borne by clients.</w:t>
      </w:r>
    </w:p>
    <w:p w14:paraId="22A8A8B6" w14:textId="1A9FBB84" w:rsidR="00D37082" w:rsidRDefault="00D37082" w:rsidP="00FB666B">
      <w:pPr>
        <w:pStyle w:val="EndnoteText"/>
      </w:pPr>
      <w:r>
        <w:t xml:space="preserve"> </w:t>
      </w:r>
    </w:p>
  </w:endnote>
  <w:endnote w:id="34">
    <w:p w14:paraId="67143E58" w14:textId="610D0D30" w:rsidR="00D37082" w:rsidRDefault="00D37082">
      <w:pPr>
        <w:pStyle w:val="EndnoteText"/>
      </w:pPr>
      <w:r>
        <w:rPr>
          <w:rStyle w:val="EndnoteReference"/>
        </w:rPr>
        <w:endnoteRef/>
      </w:r>
      <w:r>
        <w:t>. Note: In Figure 3, some items have been combined, i.e. team meetings and management tasks.</w:t>
      </w:r>
    </w:p>
    <w:p w14:paraId="2FA6F8A9" w14:textId="77777777" w:rsidR="00D37082" w:rsidRDefault="00D37082">
      <w:pPr>
        <w:pStyle w:val="EndnoteText"/>
      </w:pPr>
    </w:p>
  </w:endnote>
  <w:endnote w:id="35">
    <w:p w14:paraId="71A4BB4C" w14:textId="67EB6CC3" w:rsidR="00D37082" w:rsidRDefault="00D37082" w:rsidP="00466977">
      <w:pPr>
        <w:pStyle w:val="EndnoteText"/>
      </w:pPr>
      <w:r>
        <w:rPr>
          <w:rStyle w:val="EndnoteReference"/>
        </w:rPr>
        <w:endnoteRef/>
      </w:r>
      <w:r>
        <w:t xml:space="preserve">. </w:t>
      </w:r>
      <w:r w:rsidRPr="007C5525">
        <w:t xml:space="preserve">Rabiee, </w:t>
      </w:r>
      <w:r>
        <w:t>et al. 2015.</w:t>
      </w:r>
      <w:r w:rsidRPr="001374C1">
        <w:t xml:space="preserve"> </w:t>
      </w:r>
    </w:p>
    <w:p w14:paraId="48E1AB7D" w14:textId="77777777" w:rsidR="00D37082" w:rsidRPr="007C5525" w:rsidRDefault="00D37082" w:rsidP="00466977">
      <w:pPr>
        <w:pStyle w:val="EndnoteText"/>
        <w:rPr>
          <w:lang w:eastAsia="en-GB"/>
        </w:rPr>
      </w:pPr>
    </w:p>
  </w:endnote>
  <w:endnote w:id="36">
    <w:p w14:paraId="57B23C08" w14:textId="3351A18D" w:rsidR="00D37082" w:rsidRDefault="00D37082" w:rsidP="00466977">
      <w:pPr>
        <w:pStyle w:val="EndnoteText"/>
      </w:pPr>
      <w:r>
        <w:rPr>
          <w:rStyle w:val="EndnoteReference"/>
        </w:rPr>
        <w:endnoteRef/>
      </w:r>
      <w:r>
        <w:t xml:space="preserve">. Francis, Fisher &amp; Rutter. 2014. </w:t>
      </w:r>
    </w:p>
    <w:p w14:paraId="24FAAD73" w14:textId="77777777" w:rsidR="00D37082" w:rsidRPr="009625FE" w:rsidRDefault="00D37082" w:rsidP="00466977">
      <w:pPr>
        <w:pStyle w:val="EndnoteText"/>
      </w:pPr>
    </w:p>
  </w:endnote>
  <w:endnote w:id="37">
    <w:p w14:paraId="381A39AA" w14:textId="08E6E0CC" w:rsidR="00D37082" w:rsidRDefault="00D37082">
      <w:pPr>
        <w:pStyle w:val="EndnoteText"/>
      </w:pPr>
      <w:r>
        <w:rPr>
          <w:rStyle w:val="EndnoteReference"/>
        </w:rPr>
        <w:endnoteRef/>
      </w:r>
      <w:r>
        <w:t>. All financial values reported here being 2015/16 values.</w:t>
      </w:r>
    </w:p>
    <w:p w14:paraId="4B89E1CE" w14:textId="77777777" w:rsidR="00D37082" w:rsidRPr="00C60992" w:rsidRDefault="00D37082">
      <w:pPr>
        <w:pStyle w:val="EndnoteText"/>
        <w:rPr>
          <w:lang w:val="en-US"/>
        </w:rPr>
      </w:pPr>
    </w:p>
  </w:endnote>
  <w:endnote w:id="38">
    <w:p w14:paraId="1DECF3EC" w14:textId="554527D3" w:rsidR="00D37082" w:rsidRDefault="00D37082">
      <w:pPr>
        <w:pStyle w:val="EndnoteText"/>
      </w:pPr>
      <w:r>
        <w:rPr>
          <w:rStyle w:val="EndnoteReference"/>
        </w:rPr>
        <w:endnoteRef/>
      </w:r>
      <w:r>
        <w:t>. Such as the Personal Social Services Research Unit’s ‘Unit Costs of Health and Social Care 2015’ compiled by Curtis &amp; Burns (2015).</w:t>
      </w:r>
    </w:p>
    <w:p w14:paraId="70815F52" w14:textId="77777777" w:rsidR="00D37082" w:rsidRDefault="00D37082">
      <w:pPr>
        <w:pStyle w:val="EndnoteText"/>
      </w:pPr>
    </w:p>
  </w:endnote>
  <w:endnote w:id="39">
    <w:p w14:paraId="56F4D46F" w14:textId="77777777" w:rsidR="00D37082" w:rsidRDefault="00D37082">
      <w:pPr>
        <w:pStyle w:val="EndnoteText"/>
      </w:pPr>
      <w:r>
        <w:rPr>
          <w:rStyle w:val="EndnoteReference"/>
        </w:rPr>
        <w:endnoteRef/>
      </w:r>
      <w:r>
        <w:t>. As exact figures for the number of individual service users who receive in-depth rehabilitation are not available, these proportions are not differentiated by those who received in-depth rehabilitation and those who exited the service at an earlier stage.</w:t>
      </w:r>
    </w:p>
    <w:p w14:paraId="1E4B2274" w14:textId="45E756AC" w:rsidR="00D37082" w:rsidRDefault="00D37082">
      <w:pPr>
        <w:pStyle w:val="EndnoteText"/>
      </w:pPr>
      <w:r>
        <w:t xml:space="preserve">    </w:t>
      </w:r>
    </w:p>
  </w:endnote>
  <w:endnote w:id="40">
    <w:p w14:paraId="632AA565" w14:textId="54F9A823" w:rsidR="00D37082" w:rsidRDefault="00D37082" w:rsidP="00D6546F">
      <w:pPr>
        <w:pStyle w:val="EndnoteText"/>
      </w:pPr>
      <w:r>
        <w:rPr>
          <w:rStyle w:val="EndnoteReference"/>
        </w:rPr>
        <w:endnoteRef/>
      </w:r>
      <w:r>
        <w:t>. A proportion of 10% was used for our calculations in order to take a conservative approach to the modelling, to avoid any risk of over-claiming the financial value of outcomes</w:t>
      </w:r>
      <w:r w:rsidRPr="00FD31CC">
        <w:t>.</w:t>
      </w:r>
    </w:p>
    <w:p w14:paraId="3059A84D" w14:textId="77777777" w:rsidR="00D37082" w:rsidRDefault="00D37082" w:rsidP="00D6546F">
      <w:pPr>
        <w:pStyle w:val="EndnoteText"/>
      </w:pPr>
    </w:p>
  </w:endnote>
  <w:endnote w:id="41">
    <w:p w14:paraId="7AC8A9D9" w14:textId="1C51F59E" w:rsidR="00D37082" w:rsidRDefault="00D37082">
      <w:pPr>
        <w:pStyle w:val="EndnoteText"/>
      </w:pPr>
      <w:r>
        <w:rPr>
          <w:rStyle w:val="EndnoteReference"/>
        </w:rPr>
        <w:endnoteRef/>
      </w:r>
      <w:r>
        <w:t xml:space="preserve">. A number of different scenario calculations are presented in a separate technical appendix – which is available on request from RNIB. </w:t>
      </w:r>
    </w:p>
    <w:p w14:paraId="402CB0EE" w14:textId="77777777" w:rsidR="00D37082" w:rsidRDefault="00D37082">
      <w:pPr>
        <w:pStyle w:val="EndnoteText"/>
      </w:pPr>
    </w:p>
  </w:endnote>
  <w:endnote w:id="42">
    <w:p w14:paraId="7C3ED735" w14:textId="498C1250" w:rsidR="00D37082" w:rsidRDefault="00D37082" w:rsidP="00EE1E1F">
      <w:pPr>
        <w:pStyle w:val="EndnoteText"/>
      </w:pPr>
      <w:r>
        <w:rPr>
          <w:rStyle w:val="EndnoteReference"/>
        </w:rPr>
        <w:endnoteRef/>
      </w:r>
      <w:r>
        <w:t>. We have used the figure of 702 as the total number of service users in our case study; 702 is the number of Sight for Surrey service users who received a specialist assessment in 2015/16 as the base figure for all outcome valuation calculations. This excludes the four Sight for Surrey referrals that did not proceed to a specialist assessment.</w:t>
      </w:r>
    </w:p>
    <w:p w14:paraId="2C248B76" w14:textId="082B328C" w:rsidR="00D37082" w:rsidRDefault="00D37082" w:rsidP="00EE1E1F">
      <w:pPr>
        <w:pStyle w:val="EndnoteText"/>
      </w:pPr>
      <w:r>
        <w:t xml:space="preserve">   </w:t>
      </w:r>
    </w:p>
  </w:endnote>
  <w:endnote w:id="43">
    <w:p w14:paraId="46449F4B" w14:textId="1C16306F" w:rsidR="00D37082" w:rsidRDefault="00D37082" w:rsidP="008A230E">
      <w:pPr>
        <w:pStyle w:val="EndnoteText"/>
      </w:pPr>
      <w:r w:rsidRPr="004807B3">
        <w:endnoteRef/>
      </w:r>
      <w:r>
        <w:t>. Francis, Fisher &amp; Rutter</w:t>
      </w:r>
      <w:r w:rsidRPr="00880525">
        <w:t>. 2014</w:t>
      </w:r>
      <w:r>
        <w:t>.</w:t>
      </w:r>
    </w:p>
    <w:p w14:paraId="09B41815" w14:textId="77777777" w:rsidR="00D37082" w:rsidRDefault="00D37082" w:rsidP="008A230E">
      <w:pPr>
        <w:pStyle w:val="EndnoteText"/>
      </w:pPr>
    </w:p>
  </w:endnote>
  <w:endnote w:id="44">
    <w:p w14:paraId="4BEEC2AA" w14:textId="26501894" w:rsidR="00D37082" w:rsidRDefault="00D37082" w:rsidP="008A230E">
      <w:pPr>
        <w:pStyle w:val="EndnoteText"/>
      </w:pPr>
      <w:r w:rsidRPr="004807B3">
        <w:endnoteRef/>
      </w:r>
      <w:r>
        <w:t xml:space="preserve">. </w:t>
      </w:r>
      <w:r w:rsidRPr="004807B3">
        <w:t>Glendinning, et al. 2010; Kent, et al. 2000; and, Lewin &amp; Vandermeulen. 2010.</w:t>
      </w:r>
    </w:p>
    <w:p w14:paraId="519FE6AC" w14:textId="0C9F077B" w:rsidR="00D37082" w:rsidRDefault="00D37082" w:rsidP="008A230E">
      <w:pPr>
        <w:pStyle w:val="EndnoteText"/>
      </w:pPr>
      <w:r w:rsidRPr="004807B3">
        <w:t xml:space="preserve"> </w:t>
      </w:r>
      <w:r>
        <w:t xml:space="preserve"> </w:t>
      </w:r>
    </w:p>
  </w:endnote>
  <w:endnote w:id="45">
    <w:p w14:paraId="7E6139EF" w14:textId="0B9A8B83" w:rsidR="00D37082" w:rsidRDefault="00D37082" w:rsidP="008A230E">
      <w:pPr>
        <w:pStyle w:val="EndnoteText"/>
        <w:rPr>
          <w:rFonts w:eastAsia="Times New Roman" w:cstheme="minorHAnsi"/>
          <w:bCs/>
          <w:color w:val="000000"/>
          <w:lang w:eastAsia="en-GB"/>
        </w:rPr>
      </w:pPr>
      <w:r w:rsidRPr="004807B3">
        <w:endnoteRef/>
      </w:r>
      <w:r>
        <w:t xml:space="preserve">. </w:t>
      </w:r>
      <w:r w:rsidRPr="004807B3">
        <w:t>Lewin &amp; Vandermeulen. 2010.</w:t>
      </w:r>
      <w:r w:rsidRPr="00524229">
        <w:rPr>
          <w:rFonts w:eastAsia="Times New Roman" w:cstheme="minorHAnsi"/>
          <w:bCs/>
          <w:color w:val="000000"/>
          <w:lang w:eastAsia="en-GB"/>
        </w:rPr>
        <w:t xml:space="preserve"> </w:t>
      </w:r>
    </w:p>
    <w:p w14:paraId="66268EC6" w14:textId="77777777" w:rsidR="00D37082" w:rsidRDefault="00D37082" w:rsidP="008A230E">
      <w:pPr>
        <w:pStyle w:val="EndnoteText"/>
      </w:pPr>
    </w:p>
  </w:endnote>
  <w:endnote w:id="46">
    <w:p w14:paraId="3B63E28E" w14:textId="2F722BDA" w:rsidR="00D37082" w:rsidRDefault="00D37082">
      <w:pPr>
        <w:pStyle w:val="EndnoteText"/>
      </w:pPr>
      <w:r>
        <w:rPr>
          <w:rStyle w:val="EndnoteReference"/>
        </w:rPr>
        <w:endnoteRef/>
      </w:r>
      <w:r>
        <w:t>. Figures have been rounded to the nearest whole number, therefore totals may have rounding errors.</w:t>
      </w:r>
    </w:p>
    <w:p w14:paraId="0A8465B3" w14:textId="77777777" w:rsidR="00D37082" w:rsidRDefault="00D37082">
      <w:pPr>
        <w:pStyle w:val="EndnoteText"/>
      </w:pPr>
    </w:p>
  </w:endnote>
  <w:endnote w:id="47">
    <w:p w14:paraId="61AB51DA" w14:textId="2C2B1184" w:rsidR="00D37082" w:rsidRDefault="00D37082">
      <w:pPr>
        <w:pStyle w:val="EndnoteText"/>
      </w:pPr>
      <w:r>
        <w:rPr>
          <w:rStyle w:val="EndnoteReference"/>
        </w:rPr>
        <w:endnoteRef/>
      </w:r>
      <w:r>
        <w:t>. The figures in Table 6 are drawn from conservative calculations of the value of costs avoided in each impact area generated using a percentile approach with the assumption that just 10% of service users likely to experience an outcome actually experience it. The technical appendix to this report includes scenarios based on less conservative calculations where, for example, 25%, 50%, 75% and 100%</w:t>
      </w:r>
      <w:r w:rsidRPr="00EF5936">
        <w:t xml:space="preserve"> </w:t>
      </w:r>
      <w:r>
        <w:t>of service users likely to experience an outcome actually experience it.</w:t>
      </w:r>
    </w:p>
    <w:p w14:paraId="015FE8C5" w14:textId="4840312C" w:rsidR="00D37082" w:rsidRDefault="00D37082">
      <w:pPr>
        <w:pStyle w:val="EndnoteText"/>
      </w:pPr>
      <w:r>
        <w:t xml:space="preserve">  </w:t>
      </w:r>
    </w:p>
  </w:endnote>
  <w:endnote w:id="48">
    <w:p w14:paraId="14C5769E" w14:textId="1BB2F00B" w:rsidR="00D37082" w:rsidRDefault="00D37082">
      <w:pPr>
        <w:pStyle w:val="EndnoteText"/>
      </w:pPr>
      <w:r>
        <w:rPr>
          <w:rStyle w:val="EndnoteReference"/>
        </w:rPr>
        <w:endnoteRef/>
      </w:r>
      <w:r>
        <w:t>. Figures have been rounded to the nearest whole number, therefore totals may have rounding errors.</w:t>
      </w:r>
    </w:p>
    <w:p w14:paraId="45F3C080" w14:textId="77777777" w:rsidR="00D37082" w:rsidRDefault="00D37082">
      <w:pPr>
        <w:pStyle w:val="EndnoteText"/>
      </w:pPr>
    </w:p>
  </w:endnote>
  <w:endnote w:id="49">
    <w:p w14:paraId="5F53F169" w14:textId="307DD701" w:rsidR="00D37082" w:rsidRDefault="00D37082" w:rsidP="00094436">
      <w:pPr>
        <w:pStyle w:val="EndnoteText"/>
      </w:pPr>
      <w:r>
        <w:rPr>
          <w:rStyle w:val="EndnoteReference"/>
        </w:rPr>
        <w:endnoteRef/>
      </w:r>
      <w:r>
        <w:t xml:space="preserve">. </w:t>
      </w:r>
      <w:r w:rsidRPr="00B17CED">
        <w:t xml:space="preserve">Please note: all details used to attribute value to these outcomes, including calculations, supporting evidence and references are available in </w:t>
      </w:r>
      <w:r>
        <w:t>a separate technical</w:t>
      </w:r>
      <w:r w:rsidRPr="00B17CED">
        <w:t xml:space="preserve"> appendix</w:t>
      </w:r>
      <w:r>
        <w:t xml:space="preserve"> available on request from RNIB</w:t>
      </w:r>
      <w:r w:rsidRPr="00B17CED">
        <w:t>.</w:t>
      </w:r>
    </w:p>
    <w:p w14:paraId="0D92E0D5" w14:textId="47533CE5" w:rsidR="00D37082" w:rsidRDefault="00D37082" w:rsidP="00094436">
      <w:pPr>
        <w:pStyle w:val="EndnoteText"/>
      </w:pPr>
      <w:r w:rsidRPr="00B17CED">
        <w:t xml:space="preserve"> </w:t>
      </w:r>
    </w:p>
  </w:endnote>
  <w:endnote w:id="50">
    <w:p w14:paraId="0B65DFA9" w14:textId="7A54A78D" w:rsidR="00D37082" w:rsidRDefault="00D37082" w:rsidP="00D9693C">
      <w:pPr>
        <w:pStyle w:val="EndnoteText"/>
      </w:pPr>
      <w:r>
        <w:rPr>
          <w:rStyle w:val="EndnoteReference"/>
        </w:rPr>
        <w:endnoteRef/>
      </w:r>
      <w:r>
        <w:t xml:space="preserve">. Morris. 2014. </w:t>
      </w:r>
    </w:p>
    <w:p w14:paraId="711F1E1A" w14:textId="77777777" w:rsidR="00D37082" w:rsidRDefault="00D37082" w:rsidP="00D9693C">
      <w:pPr>
        <w:pStyle w:val="EndnoteText"/>
      </w:pPr>
    </w:p>
  </w:endnote>
  <w:endnote w:id="51">
    <w:p w14:paraId="2808F3B4" w14:textId="68670DF1" w:rsidR="00D37082" w:rsidRDefault="00D37082" w:rsidP="00257110">
      <w:pPr>
        <w:pStyle w:val="EndnoteText"/>
      </w:pPr>
      <w:r>
        <w:rPr>
          <w:rStyle w:val="EndnoteReference"/>
        </w:rPr>
        <w:endnoteRef/>
      </w:r>
      <w:r>
        <w:t>. Papworth Trust. 2014.</w:t>
      </w:r>
    </w:p>
    <w:p w14:paraId="28C86351" w14:textId="77777777" w:rsidR="00D37082" w:rsidRDefault="00D37082" w:rsidP="00257110">
      <w:pPr>
        <w:pStyle w:val="EndnoteText"/>
      </w:pPr>
    </w:p>
  </w:endnote>
  <w:endnote w:id="52">
    <w:p w14:paraId="308B57B4" w14:textId="24B7ED4E" w:rsidR="00D37082" w:rsidRDefault="00D37082">
      <w:pPr>
        <w:pStyle w:val="EndnoteText"/>
      </w:pPr>
      <w:r>
        <w:rPr>
          <w:rStyle w:val="EndnoteReference"/>
        </w:rPr>
        <w:endnoteRef/>
      </w:r>
      <w:r>
        <w:t xml:space="preserve">. Papworth Trust. 2014. </w:t>
      </w:r>
    </w:p>
    <w:p w14:paraId="5A52C36A" w14:textId="77777777" w:rsidR="00D37082" w:rsidRDefault="00D37082">
      <w:pPr>
        <w:pStyle w:val="EndnoteText"/>
      </w:pPr>
    </w:p>
  </w:endnote>
  <w:endnote w:id="53">
    <w:p w14:paraId="2E41C631" w14:textId="69840850" w:rsidR="00D37082" w:rsidRDefault="00D37082">
      <w:pPr>
        <w:pStyle w:val="EndnoteText"/>
      </w:pPr>
      <w:r>
        <w:rPr>
          <w:rStyle w:val="EndnoteReference"/>
        </w:rPr>
        <w:endnoteRef/>
      </w:r>
      <w:r>
        <w:t>. Community Transport Association. 2014.</w:t>
      </w:r>
    </w:p>
    <w:p w14:paraId="0033D4EA" w14:textId="77777777" w:rsidR="00D37082" w:rsidRDefault="00D37082">
      <w:pPr>
        <w:pStyle w:val="EndnoteText"/>
      </w:pPr>
    </w:p>
  </w:endnote>
  <w:endnote w:id="54">
    <w:p w14:paraId="411E5A36" w14:textId="07EDD254" w:rsidR="00D37082" w:rsidRDefault="00D37082">
      <w:pPr>
        <w:pStyle w:val="EndnoteText"/>
      </w:pPr>
      <w:r>
        <w:rPr>
          <w:rStyle w:val="EndnoteReference"/>
        </w:rPr>
        <w:endnoteRef/>
      </w:r>
      <w:r>
        <w:t>. Community Transport Association. 2014.</w:t>
      </w:r>
    </w:p>
    <w:p w14:paraId="53DBDCF9" w14:textId="77777777" w:rsidR="00D37082" w:rsidRDefault="00D37082">
      <w:pPr>
        <w:pStyle w:val="EndnoteText"/>
      </w:pPr>
    </w:p>
  </w:endnote>
  <w:endnote w:id="55">
    <w:p w14:paraId="0215C30E" w14:textId="212FC6BE" w:rsidR="00D37082" w:rsidRDefault="00D37082">
      <w:pPr>
        <w:pStyle w:val="EndnoteText"/>
        <w:rPr>
          <w:lang w:eastAsia="en-GB"/>
        </w:rPr>
      </w:pPr>
      <w:r>
        <w:rPr>
          <w:rStyle w:val="EndnoteReference"/>
        </w:rPr>
        <w:endnoteRef/>
      </w:r>
      <w:r>
        <w:t xml:space="preserve">. Age Scotland. 2014. </w:t>
      </w:r>
      <w:r w:rsidRPr="00321E9B">
        <w:rPr>
          <w:lang w:eastAsia="en-GB"/>
        </w:rPr>
        <w:t>Driving Change: The case for investing in community transport</w:t>
      </w:r>
      <w:r>
        <w:rPr>
          <w:lang w:eastAsia="en-GB"/>
        </w:rPr>
        <w:t>.</w:t>
      </w:r>
    </w:p>
    <w:p w14:paraId="1B922AAC" w14:textId="77777777" w:rsidR="00D37082" w:rsidRPr="00321E9B" w:rsidRDefault="00D37082">
      <w:pPr>
        <w:pStyle w:val="EndnoteText"/>
      </w:pPr>
    </w:p>
  </w:endnote>
  <w:endnote w:id="56">
    <w:p w14:paraId="6B378EE5" w14:textId="1C6AB5C8" w:rsidR="00D37082" w:rsidRDefault="00D37082">
      <w:pPr>
        <w:pStyle w:val="EndnoteText"/>
      </w:pPr>
      <w:r>
        <w:rPr>
          <w:rStyle w:val="EndnoteReference"/>
        </w:rPr>
        <w:endnoteRef/>
      </w:r>
      <w:r>
        <w:t xml:space="preserve">. Attaching a financial value to the largely intangible outcomes 3c. and 3.d (respectively, increased feelings of dignity; and increased levels of enjoyment of leisure time) steps away from the cost-avoidance approach used to place value on the other outcomes. This use of proxies to place a value on a positive outcome is an accepted practice in economic analysis and represent a value generated for the service user as a result of the service. </w:t>
      </w:r>
    </w:p>
    <w:p w14:paraId="3892CF1A" w14:textId="2D0D1DA8" w:rsidR="00D37082" w:rsidRDefault="00D37082">
      <w:pPr>
        <w:pStyle w:val="EndnoteText"/>
      </w:pPr>
      <w:r>
        <w:t xml:space="preserve">   </w:t>
      </w:r>
    </w:p>
  </w:endnote>
  <w:endnote w:id="57">
    <w:p w14:paraId="294D81FB" w14:textId="652C2D75" w:rsidR="00D37082" w:rsidRDefault="00D37082" w:rsidP="00AE672E">
      <w:pPr>
        <w:pStyle w:val="EndnoteText"/>
      </w:pPr>
      <w:r>
        <w:rPr>
          <w:rStyle w:val="EndnoteReference"/>
        </w:rPr>
        <w:endnoteRef/>
      </w:r>
      <w:r>
        <w:t xml:space="preserve">. </w:t>
      </w:r>
      <w:r w:rsidRPr="00B17CED">
        <w:t xml:space="preserve">Please note: all details used to attribute value to these outcomes, including calculations, supporting evidence and references are available in </w:t>
      </w:r>
      <w:r>
        <w:t>a separate</w:t>
      </w:r>
      <w:r w:rsidRPr="00B17CED">
        <w:t xml:space="preserve"> </w:t>
      </w:r>
      <w:r>
        <w:t xml:space="preserve">technical </w:t>
      </w:r>
      <w:r w:rsidRPr="00B17CED">
        <w:t>appendix</w:t>
      </w:r>
      <w:r>
        <w:t xml:space="preserve"> available on request from RNIB</w:t>
      </w:r>
      <w:r w:rsidRPr="00B17CED">
        <w:t xml:space="preserve">. </w:t>
      </w:r>
    </w:p>
    <w:p w14:paraId="1C20CBF1" w14:textId="77777777" w:rsidR="00D37082" w:rsidRDefault="00D37082" w:rsidP="00AE672E">
      <w:pPr>
        <w:pStyle w:val="EndnoteText"/>
      </w:pPr>
    </w:p>
  </w:endnote>
  <w:endnote w:id="58">
    <w:p w14:paraId="6EB313E5" w14:textId="6D76C14A" w:rsidR="00D37082" w:rsidRDefault="00D37082">
      <w:pPr>
        <w:pStyle w:val="EndnoteText"/>
      </w:pPr>
      <w:r>
        <w:rPr>
          <w:rStyle w:val="EndnoteReference"/>
        </w:rPr>
        <w:endnoteRef/>
      </w:r>
      <w:r>
        <w:t>. Figures have been rounded to the nearest whole number, therefore totals may have rounding errors.</w:t>
      </w:r>
    </w:p>
    <w:p w14:paraId="7064EB06" w14:textId="77777777" w:rsidR="00D37082" w:rsidRDefault="00D37082">
      <w:pPr>
        <w:pStyle w:val="EndnoteText"/>
      </w:pPr>
    </w:p>
  </w:endnote>
  <w:endnote w:id="59">
    <w:p w14:paraId="3AE5C33B" w14:textId="285F5CC7" w:rsidR="00D37082" w:rsidRDefault="00D37082">
      <w:pPr>
        <w:pStyle w:val="EndnoteText"/>
      </w:pPr>
      <w:r>
        <w:rPr>
          <w:rStyle w:val="EndnoteReference"/>
        </w:rPr>
        <w:endnoteRef/>
      </w:r>
      <w:r>
        <w:t xml:space="preserve">. Based on OPM Group’s primary research with the Sight for Surrey case study and supported by secondary literature review as evidenced in the column entitled ‘Evidence to support proposal’. </w:t>
      </w:r>
    </w:p>
    <w:p w14:paraId="1B75C4F9" w14:textId="77777777" w:rsidR="00D37082" w:rsidRDefault="00D37082">
      <w:pPr>
        <w:pStyle w:val="EndnoteText"/>
      </w:pPr>
    </w:p>
  </w:endnote>
  <w:endnote w:id="60">
    <w:p w14:paraId="4EF6FB4B" w14:textId="1D9C6286" w:rsidR="00D37082" w:rsidRDefault="00D37082" w:rsidP="00936072">
      <w:pPr>
        <w:pStyle w:val="EndnoteText"/>
      </w:pPr>
      <w:r>
        <w:rPr>
          <w:rStyle w:val="EndnoteReference"/>
        </w:rPr>
        <w:endnoteRef/>
      </w:r>
      <w:r>
        <w:t xml:space="preserve">. The British Medical Association. 2014. </w:t>
      </w:r>
    </w:p>
    <w:p w14:paraId="617F7B48" w14:textId="77777777" w:rsidR="00D37082" w:rsidRDefault="00D37082" w:rsidP="00936072">
      <w:pPr>
        <w:pStyle w:val="EndnoteText"/>
      </w:pPr>
    </w:p>
  </w:endnote>
  <w:endnote w:id="61">
    <w:p w14:paraId="74135764" w14:textId="44609FD9" w:rsidR="00D37082" w:rsidRDefault="00D37082" w:rsidP="00936072">
      <w:pPr>
        <w:pStyle w:val="EndnoteText"/>
      </w:pPr>
      <w:r>
        <w:rPr>
          <w:rStyle w:val="EndnoteReference"/>
        </w:rPr>
        <w:endnoteRef/>
      </w:r>
      <w:r>
        <w:t xml:space="preserve">. Including: Glendinning et al. 2010; Kent et al. 2000; and Lewin &amp; Vandermeulen. 2010. </w:t>
      </w:r>
    </w:p>
    <w:p w14:paraId="177F131C" w14:textId="77777777" w:rsidR="00D37082" w:rsidRDefault="00D37082" w:rsidP="00936072">
      <w:pPr>
        <w:pStyle w:val="EndnoteText"/>
      </w:pPr>
    </w:p>
  </w:endnote>
  <w:endnote w:id="62">
    <w:p w14:paraId="7F7A3949" w14:textId="77777777" w:rsidR="00D37082" w:rsidRDefault="00D37082" w:rsidP="00936072">
      <w:pPr>
        <w:pStyle w:val="EndnoteText"/>
      </w:pPr>
      <w:r>
        <w:rPr>
          <w:rStyle w:val="EndnoteReference"/>
        </w:rPr>
        <w:endnoteRef/>
      </w:r>
      <w:r>
        <w:t>. Rounding errors may be present in totals.</w:t>
      </w:r>
    </w:p>
    <w:p w14:paraId="250C8DCB" w14:textId="2A364823" w:rsidR="00D37082" w:rsidRDefault="00D37082" w:rsidP="00936072">
      <w:pPr>
        <w:pStyle w:val="EndnoteText"/>
      </w:pPr>
      <w:r>
        <w:t xml:space="preserve"> </w:t>
      </w:r>
    </w:p>
  </w:endnote>
  <w:endnote w:id="63">
    <w:p w14:paraId="6DA85EF7" w14:textId="7B5860E5" w:rsidR="00D37082" w:rsidRDefault="00D37082" w:rsidP="00936072">
      <w:pPr>
        <w:pStyle w:val="EndnoteText"/>
      </w:pPr>
      <w:r>
        <w:rPr>
          <w:rStyle w:val="EndnoteReference"/>
        </w:rPr>
        <w:endnoteRef/>
      </w:r>
      <w:r>
        <w:t>. Lewin &amp; Vandermeulen. 2010.</w:t>
      </w:r>
    </w:p>
    <w:p w14:paraId="3DD81BCB" w14:textId="77777777" w:rsidR="00D37082" w:rsidRDefault="00D37082" w:rsidP="00936072">
      <w:pPr>
        <w:pStyle w:val="EndnoteText"/>
      </w:pPr>
    </w:p>
  </w:endnote>
  <w:endnote w:id="64">
    <w:p w14:paraId="6F5008BD" w14:textId="4B280076" w:rsidR="00D37082" w:rsidRDefault="00D37082" w:rsidP="00936072">
      <w:pPr>
        <w:pStyle w:val="EndnoteText"/>
      </w:pPr>
      <w:r>
        <w:rPr>
          <w:rStyle w:val="EndnoteReference"/>
        </w:rPr>
        <w:endnoteRef/>
      </w:r>
      <w:r>
        <w:t>. The British Medical Association. 2014.</w:t>
      </w:r>
    </w:p>
    <w:p w14:paraId="5C8E1F6A" w14:textId="77777777" w:rsidR="00D37082" w:rsidRDefault="00D37082" w:rsidP="00936072">
      <w:pPr>
        <w:pStyle w:val="EndnoteText"/>
      </w:pPr>
    </w:p>
  </w:endnote>
  <w:endnote w:id="65">
    <w:p w14:paraId="469C4C03" w14:textId="699F9C62" w:rsidR="00D37082" w:rsidRDefault="00D37082">
      <w:pPr>
        <w:pStyle w:val="EndnoteText"/>
      </w:pPr>
      <w:r>
        <w:rPr>
          <w:rStyle w:val="EndnoteReference"/>
        </w:rPr>
        <w:endnoteRef/>
      </w:r>
      <w:r>
        <w:t>. It is accepted practice in economic analysis to use the same proxy for multiple outcome indicators where there is a lack of suitable alternatives. This is not viewed as double counting because the proportions of service users likely to experience the outcomes have been taken into account.</w:t>
      </w:r>
    </w:p>
    <w:p w14:paraId="70F5FCEA" w14:textId="619C5CAD" w:rsidR="00D37082" w:rsidRDefault="00D37082">
      <w:pPr>
        <w:pStyle w:val="EndnoteText"/>
      </w:pPr>
      <w:r>
        <w:t xml:space="preserve"> </w:t>
      </w:r>
    </w:p>
  </w:endnote>
  <w:endnote w:id="66">
    <w:p w14:paraId="6C6C20C9" w14:textId="64B8F7D9" w:rsidR="00D37082" w:rsidRDefault="00D37082" w:rsidP="00936072">
      <w:pPr>
        <w:pStyle w:val="EndnoteText"/>
      </w:pPr>
      <w:r>
        <w:rPr>
          <w:rStyle w:val="EndnoteReference"/>
        </w:rPr>
        <w:endnoteRef/>
      </w:r>
      <w:r>
        <w:t>. Glendinning et al. 2010.</w:t>
      </w:r>
    </w:p>
    <w:p w14:paraId="345A4E64" w14:textId="77777777" w:rsidR="00D37082" w:rsidRDefault="00D37082" w:rsidP="00936072">
      <w:pPr>
        <w:pStyle w:val="EndnoteText"/>
      </w:pPr>
    </w:p>
  </w:endnote>
  <w:endnote w:id="67">
    <w:p w14:paraId="0B32AF0A" w14:textId="2B1ADF19" w:rsidR="00D37082" w:rsidRDefault="00D37082" w:rsidP="00936072">
      <w:pPr>
        <w:pStyle w:val="EndnoteText"/>
      </w:pPr>
      <w:r>
        <w:rPr>
          <w:rStyle w:val="EndnoteReference"/>
        </w:rPr>
        <w:endnoteRef/>
      </w:r>
      <w:r>
        <w:t xml:space="preserve">. Hurstfield, Parashar &amp; Schofield. 2007; Rand, Malley &amp; Nette. 2012. </w:t>
      </w:r>
    </w:p>
    <w:p w14:paraId="051AE43C" w14:textId="77777777" w:rsidR="00D37082" w:rsidRDefault="00D37082" w:rsidP="00936072">
      <w:pPr>
        <w:pStyle w:val="EndnoteText"/>
      </w:pPr>
    </w:p>
  </w:endnote>
  <w:endnote w:id="68">
    <w:p w14:paraId="395C7417" w14:textId="50F6D87A" w:rsidR="00D37082" w:rsidRDefault="00D37082" w:rsidP="00885C85">
      <w:pPr>
        <w:pStyle w:val="EndnoteText"/>
      </w:pPr>
      <w:r>
        <w:rPr>
          <w:rStyle w:val="EndnoteReference"/>
        </w:rPr>
        <w:endnoteRef/>
      </w:r>
      <w:r>
        <w:t xml:space="preserve">. Wanless. 2006.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TT)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Bidi"/>
        <w:color w:val="auto"/>
        <w:sz w:val="28"/>
        <w:szCs w:val="28"/>
      </w:rPr>
      <w:id w:val="-1980450518"/>
      <w:docPartObj>
        <w:docPartGallery w:val="Page Numbers (Bottom of Page)"/>
        <w:docPartUnique/>
      </w:docPartObj>
    </w:sdtPr>
    <w:sdtEndPr/>
    <w:sdtContent>
      <w:sdt>
        <w:sdtPr>
          <w:rPr>
            <w:rFonts w:asciiTheme="minorHAnsi" w:hAnsiTheme="minorHAnsi" w:cstheme="minorBidi"/>
            <w:color w:val="auto"/>
            <w:sz w:val="28"/>
            <w:szCs w:val="28"/>
          </w:rPr>
          <w:id w:val="-377936530"/>
          <w:docPartObj>
            <w:docPartGallery w:val="Page Numbers (Top of Page)"/>
            <w:docPartUnique/>
          </w:docPartObj>
        </w:sdtPr>
        <w:sdtEndPr/>
        <w:sdtContent>
          <w:p w14:paraId="2D2BB76A" w14:textId="36EC1216" w:rsidR="00D37082" w:rsidRPr="00173142" w:rsidRDefault="00D32912" w:rsidP="0058257C">
            <w:pPr>
              <w:pStyle w:val="headerandfooteronly"/>
              <w:tabs>
                <w:tab w:val="left" w:pos="7579"/>
              </w:tabs>
              <w:rPr>
                <w:sz w:val="28"/>
                <w:szCs w:val="28"/>
              </w:rPr>
            </w:pPr>
            <w:sdt>
              <w:sdtPr>
                <w:rPr>
                  <w:sz w:val="28"/>
                  <w:szCs w:val="28"/>
                </w:rPr>
                <w:alias w:val="Category"/>
                <w:id w:val="1238671255"/>
                <w:dataBinding w:prefixMappings="xmlns:ns0='http://purl.org/dc/elements/1.1/' xmlns:ns1='http://schemas.openxmlformats.org/package/2006/metadata/core-properties' " w:xpath="/ns1:coreProperties[1]/ns1:category[1]" w:storeItemID="{6C3C8BC8-F283-45AE-878A-BAB7291924A1}"/>
                <w:text/>
              </w:sdtPr>
              <w:sdtEndPr/>
              <w:sdtContent>
                <w:r w:rsidR="00D37082" w:rsidRPr="00173142">
                  <w:rPr>
                    <w:sz w:val="28"/>
                    <w:szCs w:val="28"/>
                  </w:rPr>
                  <w:t>Released</w:t>
                </w:r>
              </w:sdtContent>
            </w:sdt>
            <w:r w:rsidR="00D37082" w:rsidRPr="00173142">
              <w:rPr>
                <w:sz w:val="28"/>
                <w:szCs w:val="28"/>
              </w:rPr>
              <w:tab/>
            </w:r>
            <w:r w:rsidR="00D37082" w:rsidRPr="00173142">
              <w:rPr>
                <w:b/>
                <w:bCs/>
                <w:sz w:val="28"/>
                <w:szCs w:val="28"/>
              </w:rPr>
              <w:fldChar w:fldCharType="begin"/>
            </w:r>
            <w:r w:rsidR="00D37082" w:rsidRPr="00173142">
              <w:rPr>
                <w:b/>
                <w:bCs/>
                <w:sz w:val="28"/>
                <w:szCs w:val="28"/>
              </w:rPr>
              <w:instrText xml:space="preserve"> PAGE </w:instrText>
            </w:r>
            <w:r w:rsidR="00D37082" w:rsidRPr="00173142">
              <w:rPr>
                <w:b/>
                <w:bCs/>
                <w:sz w:val="28"/>
                <w:szCs w:val="28"/>
              </w:rPr>
              <w:fldChar w:fldCharType="separate"/>
            </w:r>
            <w:r w:rsidR="00F83204">
              <w:rPr>
                <w:b/>
                <w:bCs/>
                <w:noProof/>
                <w:sz w:val="28"/>
                <w:szCs w:val="28"/>
              </w:rPr>
              <w:t>56</w:t>
            </w:r>
            <w:r w:rsidR="00D37082" w:rsidRPr="00173142">
              <w:rPr>
                <w:b/>
                <w:bCs/>
                <w:sz w:val="28"/>
                <w:szCs w:val="28"/>
              </w:rPr>
              <w:fldChar w:fldCharType="end"/>
            </w:r>
            <w:r w:rsidR="00D37082" w:rsidRPr="00173142">
              <w:rPr>
                <w:sz w:val="28"/>
                <w:szCs w:val="28"/>
              </w:rPr>
              <w:t xml:space="preserve"> </w:t>
            </w:r>
          </w:p>
          <w:p w14:paraId="01282DAF" w14:textId="77777777" w:rsidR="00D37082" w:rsidRPr="00173142" w:rsidRDefault="00D32912" w:rsidP="002043C4">
            <w:pPr>
              <w:pStyle w:val="headerandfooteronly"/>
              <w:rPr>
                <w:sz w:val="28"/>
                <w:szCs w:val="28"/>
              </w:rPr>
            </w:pPr>
            <w:sdt>
              <w:sdtPr>
                <w:rPr>
                  <w:sz w:val="28"/>
                  <w:szCs w:val="28"/>
                </w:rPr>
                <w:alias w:val="Status"/>
                <w:tag w:val=""/>
                <w:id w:val="-725991541"/>
                <w:dataBinding w:prefixMappings="xmlns:ns0='http://purl.org/dc/elements/1.1/' xmlns:ns1='http://schemas.openxmlformats.org/package/2006/metadata/core-properties' " w:xpath="/ns1:coreProperties[1]/ns1:contentStatus[1]" w:storeItemID="{6C3C8BC8-F283-45AE-878A-BAB7291924A1}"/>
                <w:text/>
              </w:sdtPr>
              <w:sdtEndPr/>
              <w:sdtContent>
                <w:r w:rsidR="00D37082" w:rsidRPr="00173142">
                  <w:rPr>
                    <w:sz w:val="28"/>
                    <w:szCs w:val="28"/>
                  </w:rPr>
                  <w:t>Final</w:t>
                </w:r>
              </w:sdtContent>
            </w:sdt>
            <w:r w:rsidR="00D37082" w:rsidRPr="00173142">
              <w:rPr>
                <w:sz w:val="28"/>
                <w:szCs w:val="28"/>
              </w:rPr>
              <w:t xml:space="preserve"> – Version: 3.0</w:t>
            </w:r>
          </w:p>
          <w:p w14:paraId="7D6D53AF" w14:textId="77777777" w:rsidR="00D37082" w:rsidRDefault="00D32912">
            <w:pPr>
              <w:pStyle w:val="Footer"/>
              <w:jc w:val="right"/>
            </w:pPr>
          </w:p>
        </w:sdtContent>
      </w:sdt>
    </w:sdtContent>
  </w:sdt>
  <w:p w14:paraId="66305ADB" w14:textId="510D12AA" w:rsidR="00D37082" w:rsidRPr="00AB248F" w:rsidRDefault="00D37082" w:rsidP="00284583">
    <w:pPr>
      <w:pStyle w:val="headerandfooteronly"/>
      <w:pBdr>
        <w:top w:val="none" w:sz="0" w:space="0" w:color="auto"/>
      </w:pBdr>
      <w:tabs>
        <w:tab w:val="left" w:pos="1843"/>
        <w:tab w:val="right" w:pos="8505"/>
      </w:tabs>
      <w:jc w:val="right"/>
      <w:rPr>
        <w:noProof/>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C72D7" w14:textId="77777777" w:rsidR="00D37082" w:rsidRPr="00AB248F" w:rsidRDefault="00D32912" w:rsidP="002043C4">
    <w:pPr>
      <w:pStyle w:val="headerandfooteronly"/>
      <w:rPr>
        <w:sz w:val="24"/>
        <w:szCs w:val="24"/>
      </w:rPr>
    </w:pPr>
    <w:sdt>
      <w:sdtPr>
        <w:rPr>
          <w:sz w:val="24"/>
          <w:szCs w:val="24"/>
        </w:rPr>
        <w:alias w:val="Category"/>
        <w:id w:val="284854965"/>
        <w:dataBinding w:prefixMappings="xmlns:ns0='http://purl.org/dc/elements/1.1/' xmlns:ns1='http://schemas.openxmlformats.org/package/2006/metadata/core-properties' " w:xpath="/ns1:coreProperties[1]/ns1:category[1]" w:storeItemID="{6C3C8BC8-F283-45AE-878A-BAB7291924A1}"/>
        <w:text/>
      </w:sdtPr>
      <w:sdtEndPr/>
      <w:sdtContent>
        <w:r w:rsidR="00D37082" w:rsidRPr="00AB248F">
          <w:rPr>
            <w:sz w:val="24"/>
            <w:szCs w:val="24"/>
          </w:rPr>
          <w:t>Released</w:t>
        </w:r>
      </w:sdtContent>
    </w:sdt>
  </w:p>
  <w:p w14:paraId="0A8E8AA2" w14:textId="77777777" w:rsidR="00D37082" w:rsidRPr="00AB248F" w:rsidRDefault="00D32912" w:rsidP="002043C4">
    <w:pPr>
      <w:pStyle w:val="headerandfooteronly"/>
      <w:rPr>
        <w:sz w:val="24"/>
        <w:szCs w:val="24"/>
      </w:rPr>
    </w:pPr>
    <w:sdt>
      <w:sdtPr>
        <w:rPr>
          <w:sz w:val="24"/>
          <w:szCs w:val="24"/>
        </w:rPr>
        <w:alias w:val="Status"/>
        <w:tag w:val=""/>
        <w:id w:val="-1791202165"/>
        <w:dataBinding w:prefixMappings="xmlns:ns0='http://purl.org/dc/elements/1.1/' xmlns:ns1='http://schemas.openxmlformats.org/package/2006/metadata/core-properties' " w:xpath="/ns1:coreProperties[1]/ns1:contentStatus[1]" w:storeItemID="{6C3C8BC8-F283-45AE-878A-BAB7291924A1}"/>
        <w:text/>
      </w:sdtPr>
      <w:sdtEndPr/>
      <w:sdtContent>
        <w:r w:rsidR="00D37082" w:rsidRPr="00AB248F">
          <w:rPr>
            <w:sz w:val="24"/>
            <w:szCs w:val="24"/>
          </w:rPr>
          <w:t>Final</w:t>
        </w:r>
      </w:sdtContent>
    </w:sdt>
    <w:r w:rsidR="00D37082" w:rsidRPr="00AB248F">
      <w:rPr>
        <w:sz w:val="24"/>
        <w:szCs w:val="24"/>
      </w:rPr>
      <w:t xml:space="preserve"> – Version: 3.0</w:t>
    </w:r>
  </w:p>
  <w:p w14:paraId="19692B3E" w14:textId="510D12AA" w:rsidR="00D37082" w:rsidRDefault="00D370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Bidi"/>
        <w:color w:val="auto"/>
        <w:sz w:val="28"/>
        <w:szCs w:val="22"/>
      </w:rPr>
      <w:id w:val="315071966"/>
      <w:docPartObj>
        <w:docPartGallery w:val="Page Numbers (Bottom of Page)"/>
        <w:docPartUnique/>
      </w:docPartObj>
    </w:sdtPr>
    <w:sdtEndPr/>
    <w:sdtContent>
      <w:sdt>
        <w:sdtPr>
          <w:rPr>
            <w:rFonts w:asciiTheme="minorHAnsi" w:hAnsiTheme="minorHAnsi" w:cstheme="minorBidi"/>
            <w:color w:val="auto"/>
            <w:sz w:val="28"/>
            <w:szCs w:val="22"/>
          </w:rPr>
          <w:id w:val="-1166081859"/>
          <w:docPartObj>
            <w:docPartGallery w:val="Page Numbers (Top of Page)"/>
            <w:docPartUnique/>
          </w:docPartObj>
        </w:sdtPr>
        <w:sdtEndPr/>
        <w:sdtContent>
          <w:p w14:paraId="6A663018" w14:textId="38B85C58" w:rsidR="00D37082" w:rsidRPr="0058257C" w:rsidRDefault="00D32912" w:rsidP="0058257C">
            <w:pPr>
              <w:pStyle w:val="headerandfooteronly"/>
              <w:tabs>
                <w:tab w:val="left" w:pos="7579"/>
              </w:tabs>
              <w:rPr>
                <w:sz w:val="24"/>
                <w:szCs w:val="24"/>
              </w:rPr>
            </w:pPr>
            <w:sdt>
              <w:sdtPr>
                <w:rPr>
                  <w:sz w:val="24"/>
                  <w:szCs w:val="24"/>
                </w:rPr>
                <w:alias w:val="Category"/>
                <w:id w:val="-1859344693"/>
                <w:dataBinding w:prefixMappings="xmlns:ns0='http://purl.org/dc/elements/1.1/' xmlns:ns1='http://schemas.openxmlformats.org/package/2006/metadata/core-properties' " w:xpath="/ns1:coreProperties[1]/ns1:category[1]" w:storeItemID="{6C3C8BC8-F283-45AE-878A-BAB7291924A1}"/>
                <w:text/>
              </w:sdtPr>
              <w:sdtEndPr/>
              <w:sdtContent>
                <w:r w:rsidR="00D37082" w:rsidRPr="0058257C">
                  <w:rPr>
                    <w:sz w:val="24"/>
                    <w:szCs w:val="24"/>
                  </w:rPr>
                  <w:t>Released</w:t>
                </w:r>
              </w:sdtContent>
            </w:sdt>
            <w:r w:rsidR="00D37082" w:rsidRPr="0058257C">
              <w:rPr>
                <w:sz w:val="24"/>
                <w:szCs w:val="24"/>
              </w:rPr>
              <w:tab/>
              <w:t xml:space="preserve">Page </w:t>
            </w:r>
            <w:r w:rsidR="00D37082" w:rsidRPr="0058257C">
              <w:rPr>
                <w:b/>
                <w:bCs/>
                <w:sz w:val="24"/>
                <w:szCs w:val="24"/>
              </w:rPr>
              <w:fldChar w:fldCharType="begin"/>
            </w:r>
            <w:r w:rsidR="00D37082" w:rsidRPr="0058257C">
              <w:rPr>
                <w:b/>
                <w:bCs/>
                <w:sz w:val="24"/>
                <w:szCs w:val="24"/>
              </w:rPr>
              <w:instrText xml:space="preserve"> PAGE </w:instrText>
            </w:r>
            <w:r w:rsidR="00D37082" w:rsidRPr="0058257C">
              <w:rPr>
                <w:b/>
                <w:bCs/>
                <w:sz w:val="24"/>
                <w:szCs w:val="24"/>
              </w:rPr>
              <w:fldChar w:fldCharType="separate"/>
            </w:r>
            <w:r w:rsidR="00F83204">
              <w:rPr>
                <w:b/>
                <w:bCs/>
                <w:noProof/>
                <w:sz w:val="24"/>
                <w:szCs w:val="24"/>
              </w:rPr>
              <w:t>87</w:t>
            </w:r>
            <w:r w:rsidR="00D37082" w:rsidRPr="0058257C">
              <w:rPr>
                <w:b/>
                <w:bCs/>
                <w:sz w:val="24"/>
                <w:szCs w:val="24"/>
              </w:rPr>
              <w:fldChar w:fldCharType="end"/>
            </w:r>
            <w:r w:rsidR="00D37082" w:rsidRPr="0058257C">
              <w:rPr>
                <w:sz w:val="24"/>
                <w:szCs w:val="24"/>
              </w:rPr>
              <w:t xml:space="preserve"> of </w:t>
            </w:r>
            <w:r w:rsidR="00D37082" w:rsidRPr="0058257C">
              <w:rPr>
                <w:b/>
                <w:bCs/>
                <w:sz w:val="24"/>
                <w:szCs w:val="24"/>
              </w:rPr>
              <w:fldChar w:fldCharType="begin"/>
            </w:r>
            <w:r w:rsidR="00D37082" w:rsidRPr="0058257C">
              <w:rPr>
                <w:b/>
                <w:bCs/>
                <w:sz w:val="24"/>
                <w:szCs w:val="24"/>
              </w:rPr>
              <w:instrText xml:space="preserve"> NUMPAGES  </w:instrText>
            </w:r>
            <w:r w:rsidR="00D37082" w:rsidRPr="0058257C">
              <w:rPr>
                <w:b/>
                <w:bCs/>
                <w:sz w:val="24"/>
                <w:szCs w:val="24"/>
              </w:rPr>
              <w:fldChar w:fldCharType="separate"/>
            </w:r>
            <w:r w:rsidR="00F83204">
              <w:rPr>
                <w:b/>
                <w:bCs/>
                <w:noProof/>
                <w:sz w:val="24"/>
                <w:szCs w:val="24"/>
              </w:rPr>
              <w:t>94</w:t>
            </w:r>
            <w:r w:rsidR="00D37082" w:rsidRPr="0058257C">
              <w:rPr>
                <w:b/>
                <w:bCs/>
                <w:sz w:val="24"/>
                <w:szCs w:val="24"/>
              </w:rPr>
              <w:fldChar w:fldCharType="end"/>
            </w:r>
          </w:p>
          <w:p w14:paraId="6D50010D" w14:textId="77777777" w:rsidR="00D37082" w:rsidRPr="0058257C" w:rsidRDefault="00D32912" w:rsidP="002043C4">
            <w:pPr>
              <w:pStyle w:val="headerandfooteronly"/>
              <w:rPr>
                <w:sz w:val="24"/>
                <w:szCs w:val="24"/>
              </w:rPr>
            </w:pPr>
            <w:sdt>
              <w:sdtPr>
                <w:rPr>
                  <w:sz w:val="24"/>
                  <w:szCs w:val="24"/>
                </w:rPr>
                <w:alias w:val="Status"/>
                <w:tag w:val=""/>
                <w:id w:val="173935202"/>
                <w:dataBinding w:prefixMappings="xmlns:ns0='http://purl.org/dc/elements/1.1/' xmlns:ns1='http://schemas.openxmlformats.org/package/2006/metadata/core-properties' " w:xpath="/ns1:coreProperties[1]/ns1:contentStatus[1]" w:storeItemID="{6C3C8BC8-F283-45AE-878A-BAB7291924A1}"/>
                <w:text/>
              </w:sdtPr>
              <w:sdtEndPr/>
              <w:sdtContent>
                <w:r w:rsidR="00D37082" w:rsidRPr="0058257C">
                  <w:rPr>
                    <w:sz w:val="24"/>
                    <w:szCs w:val="24"/>
                  </w:rPr>
                  <w:t>Final</w:t>
                </w:r>
              </w:sdtContent>
            </w:sdt>
            <w:r w:rsidR="00D37082" w:rsidRPr="0058257C">
              <w:rPr>
                <w:sz w:val="24"/>
                <w:szCs w:val="24"/>
              </w:rPr>
              <w:t xml:space="preserve"> – Version: 3.0</w:t>
            </w:r>
          </w:p>
          <w:p w14:paraId="6B65664C" w14:textId="4BEF379E" w:rsidR="00D37082" w:rsidRDefault="00D32912">
            <w:pPr>
              <w:pStyle w:val="Footer"/>
              <w:jc w:val="right"/>
            </w:pPr>
          </w:p>
        </w:sdtContent>
      </w:sdt>
    </w:sdtContent>
  </w:sdt>
  <w:p w14:paraId="6897F66C" w14:textId="0080E1DC" w:rsidR="00D37082" w:rsidRPr="00AB248F" w:rsidRDefault="00D37082" w:rsidP="00284583">
    <w:pPr>
      <w:pStyle w:val="headerandfooteronly"/>
      <w:pBdr>
        <w:top w:val="none" w:sz="0" w:space="0" w:color="auto"/>
      </w:pBdr>
      <w:tabs>
        <w:tab w:val="left" w:pos="1843"/>
        <w:tab w:val="right" w:pos="8505"/>
      </w:tabs>
      <w:jc w:val="right"/>
      <w:rPr>
        <w:noProof/>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A917E" w14:textId="77777777" w:rsidR="00D37082" w:rsidRPr="00AB248F" w:rsidRDefault="00D32912" w:rsidP="002043C4">
    <w:pPr>
      <w:pStyle w:val="headerandfooteronly"/>
      <w:rPr>
        <w:sz w:val="24"/>
        <w:szCs w:val="24"/>
      </w:rPr>
    </w:pPr>
    <w:sdt>
      <w:sdtPr>
        <w:rPr>
          <w:sz w:val="24"/>
          <w:szCs w:val="24"/>
        </w:rPr>
        <w:alias w:val="Category"/>
        <w:id w:val="366651960"/>
        <w:dataBinding w:prefixMappings="xmlns:ns0='http://purl.org/dc/elements/1.1/' xmlns:ns1='http://schemas.openxmlformats.org/package/2006/metadata/core-properties' " w:xpath="/ns1:coreProperties[1]/ns1:category[1]" w:storeItemID="{6C3C8BC8-F283-45AE-878A-BAB7291924A1}"/>
        <w:text/>
      </w:sdtPr>
      <w:sdtEndPr/>
      <w:sdtContent>
        <w:r w:rsidR="00D37082" w:rsidRPr="00AB248F">
          <w:rPr>
            <w:sz w:val="24"/>
            <w:szCs w:val="24"/>
          </w:rPr>
          <w:t>Released</w:t>
        </w:r>
      </w:sdtContent>
    </w:sdt>
  </w:p>
  <w:p w14:paraId="185C6099" w14:textId="77777777" w:rsidR="00D37082" w:rsidRPr="00AB248F" w:rsidRDefault="00D32912" w:rsidP="002043C4">
    <w:pPr>
      <w:pStyle w:val="headerandfooteronly"/>
      <w:rPr>
        <w:sz w:val="24"/>
        <w:szCs w:val="24"/>
      </w:rPr>
    </w:pPr>
    <w:sdt>
      <w:sdtPr>
        <w:rPr>
          <w:sz w:val="24"/>
          <w:szCs w:val="24"/>
        </w:rPr>
        <w:alias w:val="Status"/>
        <w:tag w:val=""/>
        <w:id w:val="-1782564691"/>
        <w:dataBinding w:prefixMappings="xmlns:ns0='http://purl.org/dc/elements/1.1/' xmlns:ns1='http://schemas.openxmlformats.org/package/2006/metadata/core-properties' " w:xpath="/ns1:coreProperties[1]/ns1:contentStatus[1]" w:storeItemID="{6C3C8BC8-F283-45AE-878A-BAB7291924A1}"/>
        <w:text/>
      </w:sdtPr>
      <w:sdtEndPr/>
      <w:sdtContent>
        <w:r w:rsidR="00D37082" w:rsidRPr="00AB248F">
          <w:rPr>
            <w:sz w:val="24"/>
            <w:szCs w:val="24"/>
          </w:rPr>
          <w:t>Final</w:t>
        </w:r>
      </w:sdtContent>
    </w:sdt>
    <w:r w:rsidR="00D37082" w:rsidRPr="00AB248F">
      <w:rPr>
        <w:sz w:val="24"/>
        <w:szCs w:val="24"/>
      </w:rPr>
      <w:t xml:space="preserve"> – Version: 3.0</w:t>
    </w:r>
  </w:p>
  <w:p w14:paraId="2FB04563" w14:textId="77777777" w:rsidR="00D37082" w:rsidRDefault="00D37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E43A7" w14:textId="77777777" w:rsidR="009C187B" w:rsidRDefault="009C187B" w:rsidP="00E476D5">
      <w:r>
        <w:separator/>
      </w:r>
    </w:p>
  </w:footnote>
  <w:footnote w:type="continuationSeparator" w:id="0">
    <w:p w14:paraId="5040C244" w14:textId="77777777" w:rsidR="009C187B" w:rsidRDefault="009C187B" w:rsidP="00AE48C7">
      <w:r>
        <w:continuationSeparator/>
      </w:r>
    </w:p>
  </w:footnote>
  <w:footnote w:type="continuationNotice" w:id="1">
    <w:p w14:paraId="6C7F0C24" w14:textId="77777777" w:rsidR="009C187B" w:rsidRDefault="009C187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B13C" w14:textId="77777777" w:rsidR="00D37082" w:rsidRPr="00CC3037" w:rsidRDefault="00D32912" w:rsidP="002043C4">
    <w:pPr>
      <w:pStyle w:val="headerandfooteronly"/>
      <w:rPr>
        <w:sz w:val="24"/>
        <w:szCs w:val="24"/>
      </w:rPr>
    </w:pPr>
    <w:sdt>
      <w:sdtPr>
        <w:rPr>
          <w:sz w:val="24"/>
          <w:szCs w:val="24"/>
        </w:rPr>
        <w:alias w:val="Company"/>
        <w:tag w:val=""/>
        <w:id w:val="-1563401981"/>
        <w:dataBinding w:prefixMappings="xmlns:ns0='http://schemas.openxmlformats.org/officeDocument/2006/extended-properties' " w:xpath="/ns0:Properties[1]/ns0:Company[1]" w:storeItemID="{6668398D-A668-4E3E-A5EB-62B293D839F1}"/>
        <w:text/>
      </w:sdtPr>
      <w:sdtEndPr/>
      <w:sdtContent>
        <w:r w:rsidR="00D37082">
          <w:rPr>
            <w:sz w:val="24"/>
            <w:szCs w:val="24"/>
          </w:rPr>
          <w:t>OPM Group</w:t>
        </w:r>
      </w:sdtContent>
    </w:sdt>
    <w:r w:rsidR="00D37082" w:rsidRPr="00CC3037">
      <w:rPr>
        <w:sz w:val="24"/>
        <w:szCs w:val="24"/>
      </w:rPr>
      <w:tab/>
    </w:r>
    <w:sdt>
      <w:sdtPr>
        <w:rPr>
          <w:sz w:val="24"/>
          <w:szCs w:val="24"/>
        </w:rPr>
        <w:alias w:val="Title"/>
        <w:tag w:val=""/>
        <w:id w:val="205913385"/>
        <w:dataBinding w:prefixMappings="xmlns:ns0='http://purl.org/dc/elements/1.1/' xmlns:ns1='http://schemas.openxmlformats.org/package/2006/metadata/core-properties' " w:xpath="/ns1:coreProperties[1]/ns0:title[1]" w:storeItemID="{6C3C8BC8-F283-45AE-878A-BAB7291924A1}"/>
        <w:text/>
      </w:sdtPr>
      <w:sdtEndPr/>
      <w:sdtContent>
        <w:r w:rsidR="00D37082" w:rsidRPr="002043C4">
          <w:rPr>
            <w:sz w:val="24"/>
            <w:szCs w:val="24"/>
          </w:rPr>
          <w:t>Demonstrating the impact and value of vision rehabilitation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4C724" w14:textId="744CDDFA" w:rsidR="00D37082" w:rsidRPr="00CC3037" w:rsidRDefault="00D32912" w:rsidP="002043C4">
    <w:pPr>
      <w:pStyle w:val="headerandfooteronly"/>
      <w:rPr>
        <w:sz w:val="24"/>
        <w:szCs w:val="24"/>
      </w:rPr>
    </w:pPr>
    <w:sdt>
      <w:sdtPr>
        <w:rPr>
          <w:sz w:val="24"/>
          <w:szCs w:val="24"/>
        </w:rPr>
        <w:alias w:val="Company"/>
        <w:tag w:val=""/>
        <w:id w:val="434640923"/>
        <w:dataBinding w:prefixMappings="xmlns:ns0='http://schemas.openxmlformats.org/officeDocument/2006/extended-properties' " w:xpath="/ns0:Properties[1]/ns0:Company[1]" w:storeItemID="{6668398D-A668-4E3E-A5EB-62B293D839F1}"/>
        <w:text/>
      </w:sdtPr>
      <w:sdtEndPr/>
      <w:sdtContent>
        <w:r w:rsidR="00D37082">
          <w:rPr>
            <w:sz w:val="24"/>
            <w:szCs w:val="24"/>
          </w:rPr>
          <w:t>OPM Group</w:t>
        </w:r>
      </w:sdtContent>
    </w:sdt>
    <w:r w:rsidR="00D37082" w:rsidRPr="00CC3037">
      <w:rPr>
        <w:sz w:val="24"/>
        <w:szCs w:val="24"/>
      </w:rPr>
      <w:tab/>
    </w:r>
    <w:sdt>
      <w:sdtPr>
        <w:rPr>
          <w:sz w:val="24"/>
          <w:szCs w:val="24"/>
        </w:rPr>
        <w:alias w:val="Title"/>
        <w:tag w:val=""/>
        <w:id w:val="526829461"/>
        <w:dataBinding w:prefixMappings="xmlns:ns0='http://purl.org/dc/elements/1.1/' xmlns:ns1='http://schemas.openxmlformats.org/package/2006/metadata/core-properties' " w:xpath="/ns1:coreProperties[1]/ns0:title[1]" w:storeItemID="{6C3C8BC8-F283-45AE-878A-BAB7291924A1}"/>
        <w:text/>
      </w:sdtPr>
      <w:sdtEndPr/>
      <w:sdtContent>
        <w:r w:rsidR="00D37082" w:rsidRPr="002043C4">
          <w:rPr>
            <w:sz w:val="24"/>
            <w:szCs w:val="24"/>
          </w:rPr>
          <w:t>Demonstrating the impact and value of vision rehabilitation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6EE2D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4B2B1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13A151C"/>
    <w:lvl w:ilvl="0">
      <w:start w:val="1"/>
      <w:numFmt w:val="lowerRoman"/>
      <w:pStyle w:val="ListNumber3"/>
      <w:lvlText w:val="%1."/>
      <w:lvlJc w:val="right"/>
      <w:pPr>
        <w:ind w:left="926" w:hanging="360"/>
      </w:pPr>
    </w:lvl>
  </w:abstractNum>
  <w:abstractNum w:abstractNumId="3" w15:restartNumberingAfterBreak="0">
    <w:nsid w:val="015F4980"/>
    <w:multiLevelType w:val="hybridMultilevel"/>
    <w:tmpl w:val="F9AC0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65BD3"/>
    <w:multiLevelType w:val="multilevel"/>
    <w:tmpl w:val="300EDFA8"/>
    <w:styleLink w:val="ListBullets"/>
    <w:lvl w:ilvl="0">
      <w:start w:val="1"/>
      <w:numFmt w:val="bullet"/>
      <w:lvlText w:val=""/>
      <w:lvlJc w:val="left"/>
      <w:pPr>
        <w:ind w:left="360" w:hanging="360"/>
      </w:pPr>
      <w:rPr>
        <w:rFonts w:ascii="Symbol" w:hAnsi="Symbol" w:hint="default"/>
        <w:color w:val="62AEB1" w:themeColor="accent1"/>
      </w:rPr>
    </w:lvl>
    <w:lvl w:ilvl="1">
      <w:start w:val="1"/>
      <w:numFmt w:val="bullet"/>
      <w:lvlText w:val=""/>
      <w:lvlJc w:val="left"/>
      <w:pPr>
        <w:ind w:left="1440" w:hanging="360"/>
      </w:pPr>
      <w:rPr>
        <w:rFonts w:ascii="Symbol" w:hAnsi="Symbol" w:hint="default"/>
        <w:color w:val="414042" w:themeColor="text2"/>
        <w:sz w:val="16"/>
      </w:rPr>
    </w:lvl>
    <w:lvl w:ilvl="2">
      <w:start w:val="1"/>
      <w:numFmt w:val="bullet"/>
      <w:lvlText w:val="»"/>
      <w:lvlJc w:val="left"/>
      <w:pPr>
        <w:ind w:left="2160" w:hanging="360"/>
      </w:pPr>
      <w:rPr>
        <w:rFonts w:ascii="Arial" w:hAnsi="Arial" w:hint="default"/>
        <w:color w:val="414042" w:themeColor="text2"/>
        <w:sz w:val="16"/>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20246C1"/>
    <w:multiLevelType w:val="hybridMultilevel"/>
    <w:tmpl w:val="6168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663909"/>
    <w:multiLevelType w:val="hybridMultilevel"/>
    <w:tmpl w:val="9AC2B2EA"/>
    <w:lvl w:ilvl="0" w:tplc="A77E03EE">
      <w:start w:val="1"/>
      <w:numFmt w:val="bullet"/>
      <w:pStyle w:val="Small10ptlistbullet"/>
      <w:lvlText w:val=""/>
      <w:lvlJc w:val="left"/>
      <w:pPr>
        <w:ind w:left="720" w:hanging="360"/>
      </w:pPr>
      <w:rPr>
        <w:rFonts w:ascii="Symbol" w:hAnsi="Symbol" w:hint="default"/>
        <w:color w:val="008C8D"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617263"/>
    <w:multiLevelType w:val="hybridMultilevel"/>
    <w:tmpl w:val="43B28A20"/>
    <w:lvl w:ilvl="0" w:tplc="5066CA3A">
      <w:start w:val="1"/>
      <w:numFmt w:val="decimal"/>
      <w:lvlText w:val="%1."/>
      <w:lvlJc w:val="left"/>
      <w:pPr>
        <w:ind w:left="360" w:hanging="360"/>
      </w:pPr>
    </w:lvl>
    <w:lvl w:ilvl="1" w:tplc="B5EE0E2A">
      <w:start w:val="1"/>
      <w:numFmt w:val="lowerLetter"/>
      <w:lvlText w:val="%2."/>
      <w:lvlJc w:val="left"/>
      <w:pPr>
        <w:ind w:left="1080" w:hanging="360"/>
      </w:pPr>
    </w:lvl>
    <w:lvl w:ilvl="2" w:tplc="CE20502A">
      <w:start w:val="1"/>
      <w:numFmt w:val="lowerRoman"/>
      <w:lvlText w:val="%3."/>
      <w:lvlJc w:val="right"/>
      <w:pPr>
        <w:ind w:left="1800" w:hanging="180"/>
      </w:pPr>
    </w:lvl>
    <w:lvl w:ilvl="3" w:tplc="BBA6892C">
      <w:start w:val="1"/>
      <w:numFmt w:val="decimal"/>
      <w:lvlText w:val="%4."/>
      <w:lvlJc w:val="left"/>
      <w:pPr>
        <w:ind w:left="2520" w:hanging="360"/>
      </w:pPr>
    </w:lvl>
    <w:lvl w:ilvl="4" w:tplc="032CF4C2">
      <w:start w:val="1"/>
      <w:numFmt w:val="lowerLetter"/>
      <w:lvlText w:val="%5."/>
      <w:lvlJc w:val="left"/>
      <w:pPr>
        <w:ind w:left="3240" w:hanging="360"/>
      </w:pPr>
    </w:lvl>
    <w:lvl w:ilvl="5" w:tplc="752A3792">
      <w:start w:val="1"/>
      <w:numFmt w:val="lowerRoman"/>
      <w:lvlText w:val="%6."/>
      <w:lvlJc w:val="right"/>
      <w:pPr>
        <w:ind w:left="3960" w:hanging="180"/>
      </w:pPr>
    </w:lvl>
    <w:lvl w:ilvl="6" w:tplc="5F9A22AC">
      <w:start w:val="1"/>
      <w:numFmt w:val="decimal"/>
      <w:lvlText w:val="%7."/>
      <w:lvlJc w:val="left"/>
      <w:pPr>
        <w:ind w:left="4680" w:hanging="360"/>
      </w:pPr>
    </w:lvl>
    <w:lvl w:ilvl="7" w:tplc="A88481A6">
      <w:start w:val="1"/>
      <w:numFmt w:val="lowerLetter"/>
      <w:lvlText w:val="%8."/>
      <w:lvlJc w:val="left"/>
      <w:pPr>
        <w:ind w:left="5400" w:hanging="360"/>
      </w:pPr>
    </w:lvl>
    <w:lvl w:ilvl="8" w:tplc="28B29E04">
      <w:start w:val="1"/>
      <w:numFmt w:val="lowerRoman"/>
      <w:lvlText w:val="%9."/>
      <w:lvlJc w:val="right"/>
      <w:pPr>
        <w:ind w:left="6120" w:hanging="180"/>
      </w:pPr>
    </w:lvl>
  </w:abstractNum>
  <w:abstractNum w:abstractNumId="8" w15:restartNumberingAfterBreak="0">
    <w:nsid w:val="0AC557D9"/>
    <w:multiLevelType w:val="hybridMultilevel"/>
    <w:tmpl w:val="E15E4EE2"/>
    <w:lvl w:ilvl="0" w:tplc="6ED2D710">
      <w:start w:val="1"/>
      <w:numFmt w:val="bullet"/>
      <w:lvlText w:val=""/>
      <w:lvlJc w:val="left"/>
      <w:pPr>
        <w:ind w:left="360" w:hanging="360"/>
      </w:pPr>
      <w:rPr>
        <w:rFonts w:ascii="Symbol" w:hAnsi="Symbol" w:hint="default"/>
        <w:spacing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5A3103"/>
    <w:multiLevelType w:val="hybridMultilevel"/>
    <w:tmpl w:val="1B445278"/>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B7254B6"/>
    <w:multiLevelType w:val="hybridMultilevel"/>
    <w:tmpl w:val="1D60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194989"/>
    <w:multiLevelType w:val="hybridMultilevel"/>
    <w:tmpl w:val="C764C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FB07A5D"/>
    <w:multiLevelType w:val="hybridMultilevel"/>
    <w:tmpl w:val="2940088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3AE3895"/>
    <w:multiLevelType w:val="multilevel"/>
    <w:tmpl w:val="B44AF8B4"/>
    <w:lvl w:ilvl="0">
      <w:start w:val="1"/>
      <w:numFmt w:val="bullet"/>
      <w:lvlText w:val=""/>
      <w:lvlJc w:val="left"/>
      <w:pPr>
        <w:ind w:left="360" w:firstLine="0"/>
      </w:pPr>
      <w:rPr>
        <w:rFonts w:ascii="Symbol" w:hAnsi="Symbol" w:hint="default"/>
        <w:b/>
        <w:i w:val="0"/>
        <w:color w:val="auto"/>
        <w:spacing w:val="0"/>
        <w:position w:val="0"/>
      </w:rPr>
    </w:lvl>
    <w:lvl w:ilvl="1">
      <w:start w:val="1"/>
      <w:numFmt w:val="bullet"/>
      <w:lvlText w:val="o"/>
      <w:lvlJc w:val="left"/>
      <w:pPr>
        <w:ind w:left="649" w:firstLine="0"/>
      </w:pPr>
      <w:rPr>
        <w:rFonts w:ascii="Courier New" w:hAnsi="Courier New" w:cs="Courier New" w:hint="default"/>
        <w:color w:val="auto"/>
      </w:rPr>
    </w:lvl>
    <w:lvl w:ilvl="2">
      <w:start w:val="1"/>
      <w:numFmt w:val="bullet"/>
      <w:lvlText w:val=""/>
      <w:lvlJc w:val="left"/>
      <w:pPr>
        <w:ind w:left="1006" w:firstLine="0"/>
      </w:pPr>
      <w:rPr>
        <w:rFonts w:ascii="Symbol" w:hAnsi="Symbol" w:hint="default"/>
      </w:rPr>
    </w:lvl>
    <w:lvl w:ilvl="3">
      <w:start w:val="1"/>
      <w:numFmt w:val="bullet"/>
      <w:lvlText w:val=""/>
      <w:lvlJc w:val="left"/>
      <w:pPr>
        <w:ind w:left="1363" w:firstLine="0"/>
      </w:pPr>
      <w:rPr>
        <w:rFonts w:ascii="Wingdings" w:hAnsi="Wingdings" w:hint="default"/>
      </w:rPr>
    </w:lvl>
    <w:lvl w:ilvl="4">
      <w:start w:val="1"/>
      <w:numFmt w:val="bullet"/>
      <w:lvlText w:val="o"/>
      <w:lvlJc w:val="left"/>
      <w:pPr>
        <w:ind w:left="1720" w:firstLine="0"/>
      </w:pPr>
      <w:rPr>
        <w:rFonts w:ascii="Courier New" w:hAnsi="Courier New" w:cs="Courier New" w:hint="default"/>
      </w:rPr>
    </w:lvl>
    <w:lvl w:ilvl="5">
      <w:start w:val="1"/>
      <w:numFmt w:val="bullet"/>
      <w:lvlText w:val=""/>
      <w:lvlJc w:val="left"/>
      <w:pPr>
        <w:ind w:left="2077" w:firstLine="0"/>
      </w:pPr>
      <w:rPr>
        <w:rFonts w:ascii="Symbol" w:hAnsi="Symbol" w:hint="default"/>
      </w:rPr>
    </w:lvl>
    <w:lvl w:ilvl="6">
      <w:start w:val="1"/>
      <w:numFmt w:val="bullet"/>
      <w:lvlText w:val=""/>
      <w:lvlJc w:val="left"/>
      <w:pPr>
        <w:ind w:left="2434" w:firstLine="0"/>
      </w:pPr>
      <w:rPr>
        <w:rFonts w:ascii="Symbol" w:hAnsi="Symbol" w:hint="default"/>
      </w:rPr>
    </w:lvl>
    <w:lvl w:ilvl="7">
      <w:start w:val="1"/>
      <w:numFmt w:val="bullet"/>
      <w:lvlText w:val="o"/>
      <w:lvlJc w:val="left"/>
      <w:pPr>
        <w:ind w:left="2791" w:firstLine="0"/>
      </w:pPr>
      <w:rPr>
        <w:rFonts w:ascii="Courier New" w:hAnsi="Courier New" w:cs="Courier New" w:hint="default"/>
      </w:rPr>
    </w:lvl>
    <w:lvl w:ilvl="8">
      <w:start w:val="1"/>
      <w:numFmt w:val="bullet"/>
      <w:lvlText w:val=""/>
      <w:lvlJc w:val="left"/>
      <w:pPr>
        <w:ind w:left="3148" w:firstLine="0"/>
      </w:pPr>
      <w:rPr>
        <w:rFonts w:ascii="Wingdings" w:hAnsi="Wingdings" w:hint="default"/>
      </w:rPr>
    </w:lvl>
  </w:abstractNum>
  <w:abstractNum w:abstractNumId="14" w15:restartNumberingAfterBreak="0">
    <w:nsid w:val="15B73D35"/>
    <w:multiLevelType w:val="hybridMultilevel"/>
    <w:tmpl w:val="CA1C2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1E2747"/>
    <w:multiLevelType w:val="hybridMultilevel"/>
    <w:tmpl w:val="9906292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6514A48"/>
    <w:multiLevelType w:val="hybridMultilevel"/>
    <w:tmpl w:val="D7BA9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7012BB0"/>
    <w:multiLevelType w:val="hybridMultilevel"/>
    <w:tmpl w:val="51CC8F5E"/>
    <w:lvl w:ilvl="0" w:tplc="08090001">
      <w:start w:val="1"/>
      <w:numFmt w:val="bullet"/>
      <w:lvlText w:val=""/>
      <w:lvlJc w:val="left"/>
      <w:pPr>
        <w:ind w:left="360" w:hanging="360"/>
      </w:pPr>
      <w:rPr>
        <w:rFonts w:ascii="Symbol" w:hAnsi="Symbol" w:hint="default"/>
        <w:spacing w:val="0"/>
        <w:position w:val="0"/>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8" w15:restartNumberingAfterBreak="0">
    <w:nsid w:val="2195173B"/>
    <w:multiLevelType w:val="hybridMultilevel"/>
    <w:tmpl w:val="373EB5B4"/>
    <w:lvl w:ilvl="0" w:tplc="5FD84C0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C10478"/>
    <w:multiLevelType w:val="hybridMultilevel"/>
    <w:tmpl w:val="600AB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221030"/>
    <w:multiLevelType w:val="hybridMultilevel"/>
    <w:tmpl w:val="5AFE2F78"/>
    <w:lvl w:ilvl="0" w:tplc="DA6CFEFA">
      <w:start w:val="1"/>
      <w:numFmt w:val="decimal"/>
      <w:pStyle w:val="ListNumber"/>
      <w:lvlText w:val="%1."/>
      <w:lvlJc w:val="left"/>
      <w:pPr>
        <w:ind w:left="720" w:hanging="360"/>
      </w:pPr>
      <w:rPr>
        <w:rFonts w:hint="default"/>
      </w:rPr>
    </w:lvl>
    <w:lvl w:ilvl="1" w:tplc="08090019">
      <w:start w:val="1"/>
      <w:numFmt w:val="lowerLetter"/>
      <w:lvlText w:val="%2."/>
      <w:lvlJc w:val="left"/>
      <w:pPr>
        <w:ind w:left="1070" w:hanging="360"/>
      </w:pPr>
    </w:lvl>
    <w:lvl w:ilvl="2" w:tplc="1520EAFE">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0E005A"/>
    <w:multiLevelType w:val="multilevel"/>
    <w:tmpl w:val="448C31C0"/>
    <w:lvl w:ilvl="0">
      <w:start w:val="1"/>
      <w:numFmt w:val="bullet"/>
      <w:lvlText w:val=""/>
      <w:lvlJc w:val="left"/>
      <w:pPr>
        <w:ind w:left="0" w:firstLine="0"/>
      </w:pPr>
      <w:rPr>
        <w:rFonts w:ascii="Symbol" w:hAnsi="Symbol" w:hint="default"/>
        <w:b/>
        <w:i w:val="0"/>
        <w:color w:val="auto"/>
        <w:spacing w:val="0"/>
        <w:position w:val="0"/>
      </w:rPr>
    </w:lvl>
    <w:lvl w:ilvl="1">
      <w:start w:val="1"/>
      <w:numFmt w:val="bullet"/>
      <w:lvlText w:val="o"/>
      <w:lvlJc w:val="left"/>
      <w:pPr>
        <w:ind w:left="289" w:firstLine="0"/>
      </w:pPr>
      <w:rPr>
        <w:rFonts w:ascii="Courier New" w:hAnsi="Courier New" w:cs="Courier New" w:hint="default"/>
        <w:color w:val="auto"/>
      </w:rPr>
    </w:lvl>
    <w:lvl w:ilvl="2">
      <w:start w:val="1"/>
      <w:numFmt w:val="bullet"/>
      <w:lvlText w:val=""/>
      <w:lvlJc w:val="left"/>
      <w:pPr>
        <w:ind w:left="646" w:firstLine="0"/>
      </w:pPr>
      <w:rPr>
        <w:rFonts w:ascii="Symbol" w:hAnsi="Symbol" w:hint="default"/>
      </w:rPr>
    </w:lvl>
    <w:lvl w:ilvl="3">
      <w:start w:val="1"/>
      <w:numFmt w:val="bullet"/>
      <w:lvlText w:val=""/>
      <w:lvlJc w:val="left"/>
      <w:pPr>
        <w:ind w:left="1003" w:firstLine="0"/>
      </w:pPr>
      <w:rPr>
        <w:rFonts w:ascii="Wingdings" w:hAnsi="Wingdings" w:hint="default"/>
      </w:rPr>
    </w:lvl>
    <w:lvl w:ilvl="4">
      <w:start w:val="1"/>
      <w:numFmt w:val="bullet"/>
      <w:lvlText w:val="o"/>
      <w:lvlJc w:val="left"/>
      <w:pPr>
        <w:ind w:left="1360" w:firstLine="0"/>
      </w:pPr>
      <w:rPr>
        <w:rFonts w:ascii="Courier New" w:hAnsi="Courier New" w:cs="Courier New" w:hint="default"/>
      </w:rPr>
    </w:lvl>
    <w:lvl w:ilvl="5">
      <w:start w:val="1"/>
      <w:numFmt w:val="bullet"/>
      <w:lvlText w:val=""/>
      <w:lvlJc w:val="left"/>
      <w:pPr>
        <w:ind w:left="1717" w:firstLine="0"/>
      </w:pPr>
      <w:rPr>
        <w:rFonts w:ascii="Symbol" w:hAnsi="Symbol" w:hint="default"/>
      </w:rPr>
    </w:lvl>
    <w:lvl w:ilvl="6">
      <w:start w:val="1"/>
      <w:numFmt w:val="bullet"/>
      <w:lvlText w:val=""/>
      <w:lvlJc w:val="left"/>
      <w:pPr>
        <w:ind w:left="2074" w:firstLine="0"/>
      </w:pPr>
      <w:rPr>
        <w:rFonts w:ascii="Symbol" w:hAnsi="Symbol" w:hint="default"/>
      </w:rPr>
    </w:lvl>
    <w:lvl w:ilvl="7">
      <w:start w:val="1"/>
      <w:numFmt w:val="bullet"/>
      <w:lvlText w:val="o"/>
      <w:lvlJc w:val="left"/>
      <w:pPr>
        <w:ind w:left="2431" w:firstLine="0"/>
      </w:pPr>
      <w:rPr>
        <w:rFonts w:ascii="Courier New" w:hAnsi="Courier New" w:cs="Courier New" w:hint="default"/>
      </w:rPr>
    </w:lvl>
    <w:lvl w:ilvl="8">
      <w:start w:val="1"/>
      <w:numFmt w:val="bullet"/>
      <w:lvlText w:val=""/>
      <w:lvlJc w:val="left"/>
      <w:pPr>
        <w:ind w:left="2788" w:firstLine="0"/>
      </w:pPr>
      <w:rPr>
        <w:rFonts w:ascii="Wingdings" w:hAnsi="Wingdings" w:hint="default"/>
      </w:rPr>
    </w:lvl>
  </w:abstractNum>
  <w:abstractNum w:abstractNumId="22" w15:restartNumberingAfterBreak="0">
    <w:nsid w:val="302374AD"/>
    <w:multiLevelType w:val="hybridMultilevel"/>
    <w:tmpl w:val="86AC0E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304681E"/>
    <w:multiLevelType w:val="hybridMultilevel"/>
    <w:tmpl w:val="0EF8AC66"/>
    <w:lvl w:ilvl="0" w:tplc="35D6CCA4">
      <w:start w:val="1"/>
      <w:numFmt w:val="bullet"/>
      <w:lvlText w:val=""/>
      <w:lvlJc w:val="left"/>
      <w:pPr>
        <w:ind w:left="360" w:hanging="360"/>
      </w:pPr>
      <w:rPr>
        <w:rFonts w:ascii="Symbol" w:hAnsi="Symbol" w:hint="default"/>
        <w:spacing w:val="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FD02B1"/>
    <w:multiLevelType w:val="hybridMultilevel"/>
    <w:tmpl w:val="1A7C4D5C"/>
    <w:lvl w:ilvl="0" w:tplc="BC64D7CC">
      <w:start w:val="1"/>
      <w:numFmt w:val="upperLetter"/>
      <w:lvlText w:val="Appendix %1. "/>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pStyle w:val="ListNumber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7E4D1D"/>
    <w:multiLevelType w:val="multilevel"/>
    <w:tmpl w:val="EE1E8004"/>
    <w:lvl w:ilvl="0">
      <w:start w:val="1"/>
      <w:numFmt w:val="bullet"/>
      <w:pStyle w:val="ListBullet2"/>
      <w:lvlText w:val=""/>
      <w:lvlJc w:val="left"/>
      <w:pPr>
        <w:ind w:left="714" w:firstLine="0"/>
      </w:pPr>
      <w:rPr>
        <w:rFonts w:ascii="Symbol" w:hAnsi="Symbol" w:hint="default"/>
        <w:b/>
        <w:i w:val="0"/>
        <w:color w:val="62AEB1" w:themeColor="accent1"/>
      </w:rPr>
    </w:lvl>
    <w:lvl w:ilvl="1">
      <w:start w:val="1"/>
      <w:numFmt w:val="bullet"/>
      <w:lvlText w:val=""/>
      <w:lvlJc w:val="left"/>
      <w:pPr>
        <w:ind w:left="1071" w:firstLine="0"/>
      </w:pPr>
      <w:rPr>
        <w:rFonts w:ascii="Symbol" w:hAnsi="Symbol" w:hint="default"/>
      </w:rPr>
    </w:lvl>
    <w:lvl w:ilvl="2">
      <w:start w:val="1"/>
      <w:numFmt w:val="bullet"/>
      <w:lvlText w:val=""/>
      <w:lvlJc w:val="left"/>
      <w:pPr>
        <w:ind w:left="1428" w:firstLine="0"/>
      </w:pPr>
      <w:rPr>
        <w:rFonts w:ascii="Wingdings" w:hAnsi="Wingdings" w:hint="default"/>
      </w:rPr>
    </w:lvl>
    <w:lvl w:ilvl="3">
      <w:start w:val="1"/>
      <w:numFmt w:val="bullet"/>
      <w:lvlText w:val="o"/>
      <w:lvlJc w:val="left"/>
      <w:pPr>
        <w:ind w:left="1785" w:firstLine="0"/>
      </w:pPr>
      <w:rPr>
        <w:rFonts w:ascii="Courier New" w:hAnsi="Courier New" w:cs="Courier New" w:hint="default"/>
      </w:rPr>
    </w:lvl>
    <w:lvl w:ilvl="4">
      <w:start w:val="1"/>
      <w:numFmt w:val="bullet"/>
      <w:lvlText w:val=""/>
      <w:lvlJc w:val="left"/>
      <w:pPr>
        <w:ind w:left="2142" w:firstLine="0"/>
      </w:pPr>
      <w:rPr>
        <w:rFonts w:ascii="Symbol" w:hAnsi="Symbol" w:hint="default"/>
      </w:rPr>
    </w:lvl>
    <w:lvl w:ilvl="5">
      <w:start w:val="1"/>
      <w:numFmt w:val="bullet"/>
      <w:lvlText w:val=""/>
      <w:lvlJc w:val="left"/>
      <w:pPr>
        <w:ind w:left="2499" w:firstLine="0"/>
      </w:pPr>
      <w:rPr>
        <w:rFonts w:ascii="Wingdings" w:hAnsi="Wingdings" w:hint="default"/>
      </w:rPr>
    </w:lvl>
    <w:lvl w:ilvl="6">
      <w:start w:val="1"/>
      <w:numFmt w:val="bullet"/>
      <w:lvlText w:val=""/>
      <w:lvlJc w:val="left"/>
      <w:pPr>
        <w:ind w:left="2856" w:firstLine="0"/>
      </w:pPr>
      <w:rPr>
        <w:rFonts w:ascii="Symbol" w:hAnsi="Symbol" w:hint="default"/>
      </w:rPr>
    </w:lvl>
    <w:lvl w:ilvl="7">
      <w:start w:val="1"/>
      <w:numFmt w:val="bullet"/>
      <w:lvlText w:val="o"/>
      <w:lvlJc w:val="left"/>
      <w:pPr>
        <w:ind w:left="3213" w:firstLine="0"/>
      </w:pPr>
      <w:rPr>
        <w:rFonts w:ascii="Courier New" w:hAnsi="Courier New" w:cs="Courier New" w:hint="default"/>
      </w:rPr>
    </w:lvl>
    <w:lvl w:ilvl="8">
      <w:start w:val="1"/>
      <w:numFmt w:val="bullet"/>
      <w:lvlText w:val=""/>
      <w:lvlJc w:val="left"/>
      <w:pPr>
        <w:ind w:left="3570" w:firstLine="0"/>
      </w:pPr>
      <w:rPr>
        <w:rFonts w:ascii="Wingdings" w:hAnsi="Wingdings" w:hint="default"/>
      </w:rPr>
    </w:lvl>
  </w:abstractNum>
  <w:abstractNum w:abstractNumId="26" w15:restartNumberingAfterBreak="0">
    <w:nsid w:val="3CF70F41"/>
    <w:multiLevelType w:val="multilevel"/>
    <w:tmpl w:val="CD6070C0"/>
    <w:lvl w:ilvl="0">
      <w:start w:val="1"/>
      <w:numFmt w:val="bullet"/>
      <w:pStyle w:val="ListBullet3"/>
      <w:lvlText w:val=""/>
      <w:lvlJc w:val="left"/>
      <w:pPr>
        <w:ind w:left="1072" w:firstLine="0"/>
      </w:pPr>
      <w:rPr>
        <w:rFonts w:ascii="Symbol" w:hAnsi="Symbol" w:hint="default"/>
        <w:color w:val="auto"/>
      </w:rPr>
    </w:lvl>
    <w:lvl w:ilvl="1">
      <w:start w:val="1"/>
      <w:numFmt w:val="bullet"/>
      <w:lvlText w:val=""/>
      <w:lvlJc w:val="left"/>
      <w:pPr>
        <w:ind w:left="1429" w:firstLine="0"/>
      </w:pPr>
      <w:rPr>
        <w:rFonts w:ascii="Wingdings" w:hAnsi="Wingdings" w:hint="default"/>
      </w:rPr>
    </w:lvl>
    <w:lvl w:ilvl="2">
      <w:start w:val="1"/>
      <w:numFmt w:val="bullet"/>
      <w:lvlText w:val="o"/>
      <w:lvlJc w:val="left"/>
      <w:pPr>
        <w:ind w:left="1786" w:firstLine="0"/>
      </w:pPr>
      <w:rPr>
        <w:rFonts w:ascii="Courier New" w:hAnsi="Courier New" w:hint="default"/>
      </w:rPr>
    </w:lvl>
    <w:lvl w:ilvl="3">
      <w:start w:val="1"/>
      <w:numFmt w:val="bullet"/>
      <w:lvlText w:val=""/>
      <w:lvlJc w:val="left"/>
      <w:pPr>
        <w:ind w:left="2143" w:firstLine="0"/>
      </w:pPr>
      <w:rPr>
        <w:rFonts w:ascii="Symbol" w:hAnsi="Symbol" w:hint="default"/>
      </w:rPr>
    </w:lvl>
    <w:lvl w:ilvl="4">
      <w:start w:val="1"/>
      <w:numFmt w:val="bullet"/>
      <w:lvlText w:val="o"/>
      <w:lvlJc w:val="left"/>
      <w:pPr>
        <w:ind w:left="2500" w:firstLine="0"/>
      </w:pPr>
      <w:rPr>
        <w:rFonts w:ascii="Courier New" w:hAnsi="Courier New" w:hint="default"/>
      </w:rPr>
    </w:lvl>
    <w:lvl w:ilvl="5">
      <w:start w:val="1"/>
      <w:numFmt w:val="bullet"/>
      <w:lvlText w:val=""/>
      <w:lvlJc w:val="left"/>
      <w:pPr>
        <w:ind w:left="2857" w:firstLine="0"/>
      </w:pPr>
      <w:rPr>
        <w:rFonts w:ascii="Wingdings" w:hAnsi="Wingdings" w:hint="default"/>
      </w:rPr>
    </w:lvl>
    <w:lvl w:ilvl="6">
      <w:start w:val="1"/>
      <w:numFmt w:val="bullet"/>
      <w:lvlText w:val=""/>
      <w:lvlJc w:val="left"/>
      <w:pPr>
        <w:ind w:left="3214" w:firstLine="0"/>
      </w:pPr>
      <w:rPr>
        <w:rFonts w:ascii="Symbol" w:hAnsi="Symbol" w:hint="default"/>
      </w:rPr>
    </w:lvl>
    <w:lvl w:ilvl="7">
      <w:start w:val="1"/>
      <w:numFmt w:val="bullet"/>
      <w:lvlText w:val="o"/>
      <w:lvlJc w:val="left"/>
      <w:pPr>
        <w:ind w:left="3571" w:firstLine="0"/>
      </w:pPr>
      <w:rPr>
        <w:rFonts w:ascii="Courier New" w:hAnsi="Courier New" w:hint="default"/>
      </w:rPr>
    </w:lvl>
    <w:lvl w:ilvl="8">
      <w:start w:val="1"/>
      <w:numFmt w:val="bullet"/>
      <w:lvlText w:val=""/>
      <w:lvlJc w:val="left"/>
      <w:pPr>
        <w:ind w:left="3928" w:firstLine="0"/>
      </w:pPr>
      <w:rPr>
        <w:rFonts w:ascii="Wingdings" w:hAnsi="Wingdings" w:hint="default"/>
      </w:rPr>
    </w:lvl>
  </w:abstractNum>
  <w:abstractNum w:abstractNumId="27" w15:restartNumberingAfterBreak="0">
    <w:nsid w:val="40860952"/>
    <w:multiLevelType w:val="hybridMultilevel"/>
    <w:tmpl w:val="9856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9A38C8"/>
    <w:multiLevelType w:val="hybridMultilevel"/>
    <w:tmpl w:val="3188A4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7FF373B"/>
    <w:multiLevelType w:val="hybridMultilevel"/>
    <w:tmpl w:val="4398A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8B0088"/>
    <w:multiLevelType w:val="hybridMultilevel"/>
    <w:tmpl w:val="3AC89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C0477E"/>
    <w:multiLevelType w:val="multilevel"/>
    <w:tmpl w:val="D50E18F8"/>
    <w:lvl w:ilvl="0">
      <w:start w:val="1"/>
      <w:numFmt w:val="bullet"/>
      <w:lvlText w:val=""/>
      <w:lvlJc w:val="left"/>
      <w:pPr>
        <w:ind w:left="0" w:firstLine="0"/>
      </w:pPr>
      <w:rPr>
        <w:rFonts w:ascii="Symbol" w:hAnsi="Symbol" w:hint="default"/>
        <w:b/>
        <w:i w:val="0"/>
        <w:color w:val="auto"/>
        <w:spacing w:val="0"/>
        <w:position w:val="0"/>
      </w:rPr>
    </w:lvl>
    <w:lvl w:ilvl="1">
      <w:start w:val="1"/>
      <w:numFmt w:val="bullet"/>
      <w:lvlText w:val="o"/>
      <w:lvlJc w:val="left"/>
      <w:pPr>
        <w:ind w:left="289" w:firstLine="0"/>
      </w:pPr>
      <w:rPr>
        <w:rFonts w:ascii="Courier New" w:hAnsi="Courier New" w:cs="Courier New" w:hint="default"/>
        <w:color w:val="auto"/>
      </w:rPr>
    </w:lvl>
    <w:lvl w:ilvl="2">
      <w:start w:val="1"/>
      <w:numFmt w:val="bullet"/>
      <w:lvlText w:val=""/>
      <w:lvlJc w:val="left"/>
      <w:pPr>
        <w:ind w:left="646" w:firstLine="0"/>
      </w:pPr>
      <w:rPr>
        <w:rFonts w:ascii="Symbol" w:hAnsi="Symbol" w:hint="default"/>
      </w:rPr>
    </w:lvl>
    <w:lvl w:ilvl="3">
      <w:start w:val="1"/>
      <w:numFmt w:val="bullet"/>
      <w:lvlText w:val=""/>
      <w:lvlJc w:val="left"/>
      <w:pPr>
        <w:ind w:left="1003" w:firstLine="0"/>
      </w:pPr>
      <w:rPr>
        <w:rFonts w:ascii="Wingdings" w:hAnsi="Wingdings" w:hint="default"/>
      </w:rPr>
    </w:lvl>
    <w:lvl w:ilvl="4">
      <w:start w:val="1"/>
      <w:numFmt w:val="bullet"/>
      <w:lvlText w:val="o"/>
      <w:lvlJc w:val="left"/>
      <w:pPr>
        <w:ind w:left="1360" w:firstLine="0"/>
      </w:pPr>
      <w:rPr>
        <w:rFonts w:ascii="Courier New" w:hAnsi="Courier New" w:cs="Courier New" w:hint="default"/>
      </w:rPr>
    </w:lvl>
    <w:lvl w:ilvl="5">
      <w:start w:val="1"/>
      <w:numFmt w:val="bullet"/>
      <w:lvlText w:val=""/>
      <w:lvlJc w:val="left"/>
      <w:pPr>
        <w:ind w:left="1717" w:firstLine="0"/>
      </w:pPr>
      <w:rPr>
        <w:rFonts w:ascii="Symbol" w:hAnsi="Symbol" w:hint="default"/>
      </w:rPr>
    </w:lvl>
    <w:lvl w:ilvl="6">
      <w:start w:val="1"/>
      <w:numFmt w:val="bullet"/>
      <w:lvlText w:val=""/>
      <w:lvlJc w:val="left"/>
      <w:pPr>
        <w:ind w:left="2074" w:firstLine="0"/>
      </w:pPr>
      <w:rPr>
        <w:rFonts w:ascii="Symbol" w:hAnsi="Symbol" w:hint="default"/>
      </w:rPr>
    </w:lvl>
    <w:lvl w:ilvl="7">
      <w:start w:val="1"/>
      <w:numFmt w:val="bullet"/>
      <w:lvlText w:val="o"/>
      <w:lvlJc w:val="left"/>
      <w:pPr>
        <w:ind w:left="2431" w:firstLine="0"/>
      </w:pPr>
      <w:rPr>
        <w:rFonts w:ascii="Courier New" w:hAnsi="Courier New" w:cs="Courier New" w:hint="default"/>
      </w:rPr>
    </w:lvl>
    <w:lvl w:ilvl="8">
      <w:start w:val="1"/>
      <w:numFmt w:val="bullet"/>
      <w:lvlText w:val=""/>
      <w:lvlJc w:val="left"/>
      <w:pPr>
        <w:ind w:left="2788" w:firstLine="0"/>
      </w:pPr>
      <w:rPr>
        <w:rFonts w:ascii="Wingdings" w:hAnsi="Wingdings" w:hint="default"/>
      </w:rPr>
    </w:lvl>
  </w:abstractNum>
  <w:abstractNum w:abstractNumId="32" w15:restartNumberingAfterBreak="0">
    <w:nsid w:val="56B81517"/>
    <w:multiLevelType w:val="hybridMultilevel"/>
    <w:tmpl w:val="57A2408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70700D7"/>
    <w:multiLevelType w:val="hybridMultilevel"/>
    <w:tmpl w:val="EE140C44"/>
    <w:lvl w:ilvl="0" w:tplc="C7CA4EBE">
      <w:start w:val="1"/>
      <w:numFmt w:val="decimal"/>
      <w:lvlText w:val="%1."/>
      <w:lvlJc w:val="left"/>
      <w:pPr>
        <w:ind w:left="360" w:hanging="360"/>
      </w:pPr>
    </w:lvl>
    <w:lvl w:ilvl="1" w:tplc="20F2427E">
      <w:start w:val="1"/>
      <w:numFmt w:val="lowerLetter"/>
      <w:lvlText w:val="%2."/>
      <w:lvlJc w:val="left"/>
      <w:pPr>
        <w:ind w:left="1080" w:hanging="360"/>
      </w:pPr>
    </w:lvl>
    <w:lvl w:ilvl="2" w:tplc="6CA0978A">
      <w:start w:val="1"/>
      <w:numFmt w:val="lowerRoman"/>
      <w:lvlText w:val="%3."/>
      <w:lvlJc w:val="right"/>
      <w:pPr>
        <w:ind w:left="1800" w:hanging="180"/>
      </w:pPr>
    </w:lvl>
    <w:lvl w:ilvl="3" w:tplc="0A2EC714">
      <w:start w:val="1"/>
      <w:numFmt w:val="decimal"/>
      <w:lvlText w:val="%4."/>
      <w:lvlJc w:val="left"/>
      <w:pPr>
        <w:ind w:left="2520" w:hanging="360"/>
      </w:pPr>
    </w:lvl>
    <w:lvl w:ilvl="4" w:tplc="D942647A">
      <w:start w:val="1"/>
      <w:numFmt w:val="lowerLetter"/>
      <w:lvlText w:val="%5."/>
      <w:lvlJc w:val="left"/>
      <w:pPr>
        <w:ind w:left="3240" w:hanging="360"/>
      </w:pPr>
    </w:lvl>
    <w:lvl w:ilvl="5" w:tplc="003C67C6">
      <w:start w:val="1"/>
      <w:numFmt w:val="lowerRoman"/>
      <w:lvlText w:val="%6."/>
      <w:lvlJc w:val="right"/>
      <w:pPr>
        <w:ind w:left="3960" w:hanging="180"/>
      </w:pPr>
    </w:lvl>
    <w:lvl w:ilvl="6" w:tplc="837227EE">
      <w:start w:val="1"/>
      <w:numFmt w:val="decimal"/>
      <w:lvlText w:val="%7."/>
      <w:lvlJc w:val="left"/>
      <w:pPr>
        <w:ind w:left="4680" w:hanging="360"/>
      </w:pPr>
    </w:lvl>
    <w:lvl w:ilvl="7" w:tplc="48F2D300">
      <w:start w:val="1"/>
      <w:numFmt w:val="lowerLetter"/>
      <w:lvlText w:val="%8."/>
      <w:lvlJc w:val="left"/>
      <w:pPr>
        <w:ind w:left="5400" w:hanging="360"/>
      </w:pPr>
    </w:lvl>
    <w:lvl w:ilvl="8" w:tplc="45DED00E">
      <w:start w:val="1"/>
      <w:numFmt w:val="lowerRoman"/>
      <w:lvlText w:val="%9."/>
      <w:lvlJc w:val="right"/>
      <w:pPr>
        <w:ind w:left="6120" w:hanging="180"/>
      </w:pPr>
    </w:lvl>
  </w:abstractNum>
  <w:abstractNum w:abstractNumId="34" w15:restartNumberingAfterBreak="0">
    <w:nsid w:val="5BF91A86"/>
    <w:multiLevelType w:val="hybridMultilevel"/>
    <w:tmpl w:val="9C620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B94DE1"/>
    <w:multiLevelType w:val="multilevel"/>
    <w:tmpl w:val="8A76663A"/>
    <w:styleLink w:val="Styletypelist"/>
    <w:lvl w:ilvl="0">
      <w:start w:val="1"/>
      <w:numFmt w:val="decimal"/>
      <w:lvlText w:val="%1."/>
      <w:lvlJc w:val="left"/>
      <w:pPr>
        <w:ind w:left="1080" w:hanging="720"/>
      </w:pPr>
      <w:rPr>
        <w:rFonts w:hint="default"/>
      </w:r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FC25395"/>
    <w:multiLevelType w:val="hybridMultilevel"/>
    <w:tmpl w:val="B3BCC47A"/>
    <w:lvl w:ilvl="0" w:tplc="694C192E">
      <w:start w:val="1"/>
      <w:numFmt w:val="decimal"/>
      <w:lvlText w:val="%1."/>
      <w:lvlJc w:val="left"/>
      <w:pPr>
        <w:ind w:left="360" w:hanging="360"/>
      </w:pPr>
      <w:rPr>
        <w:rFonts w:ascii="Arial" w:eastAsiaTheme="majorEastAsia" w:hAnsi="Arial" w:cstheme="majorBidi"/>
        <w:spacing w:val="0"/>
        <w:position w:val="0"/>
      </w:rPr>
    </w:lvl>
    <w:lvl w:ilvl="1" w:tplc="32AA0F86">
      <w:start w:val="1"/>
      <w:numFmt w:val="upperLetter"/>
      <w:lvlText w:val="%2."/>
      <w:lvlJc w:val="left"/>
      <w:pPr>
        <w:ind w:left="1015" w:hanging="360"/>
      </w:pPr>
      <w:rPr>
        <w:rFonts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37" w15:restartNumberingAfterBreak="0">
    <w:nsid w:val="6F554E42"/>
    <w:multiLevelType w:val="hybridMultilevel"/>
    <w:tmpl w:val="20FA8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F5A1195"/>
    <w:multiLevelType w:val="hybridMultilevel"/>
    <w:tmpl w:val="3188A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B04C05"/>
    <w:multiLevelType w:val="hybridMultilevel"/>
    <w:tmpl w:val="833AEACE"/>
    <w:lvl w:ilvl="0" w:tplc="60A04A86">
      <w:start w:val="1"/>
      <w:numFmt w:val="decimal"/>
      <w:lvlText w:val="%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29B786B"/>
    <w:multiLevelType w:val="hybridMultilevel"/>
    <w:tmpl w:val="FD14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D5354"/>
    <w:multiLevelType w:val="hybridMultilevel"/>
    <w:tmpl w:val="216C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F966C9"/>
    <w:multiLevelType w:val="hybridMultilevel"/>
    <w:tmpl w:val="E8860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D52B51"/>
    <w:multiLevelType w:val="hybridMultilevel"/>
    <w:tmpl w:val="D5B86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19134E"/>
    <w:multiLevelType w:val="hybridMultilevel"/>
    <w:tmpl w:val="AAC011C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6"/>
  </w:num>
  <w:num w:numId="3">
    <w:abstractNumId w:val="2"/>
  </w:num>
  <w:num w:numId="4">
    <w:abstractNumId w:val="1"/>
  </w:num>
  <w:num w:numId="5">
    <w:abstractNumId w:val="0"/>
  </w:num>
  <w:num w:numId="6">
    <w:abstractNumId w:val="6"/>
  </w:num>
  <w:num w:numId="7">
    <w:abstractNumId w:val="35"/>
  </w:num>
  <w:num w:numId="8">
    <w:abstractNumId w:val="24"/>
  </w:num>
  <w:num w:numId="9">
    <w:abstractNumId w:val="20"/>
  </w:num>
  <w:num w:numId="10">
    <w:abstractNumId w:val="25"/>
  </w:num>
  <w:num w:numId="11">
    <w:abstractNumId w:val="15"/>
  </w:num>
  <w:num w:numId="12">
    <w:abstractNumId w:val="32"/>
  </w:num>
  <w:num w:numId="13">
    <w:abstractNumId w:val="22"/>
  </w:num>
  <w:num w:numId="14">
    <w:abstractNumId w:val="18"/>
  </w:num>
  <w:num w:numId="15">
    <w:abstractNumId w:val="38"/>
  </w:num>
  <w:num w:numId="16">
    <w:abstractNumId w:val="28"/>
  </w:num>
  <w:num w:numId="17">
    <w:abstractNumId w:val="39"/>
  </w:num>
  <w:num w:numId="18">
    <w:abstractNumId w:val="9"/>
  </w:num>
  <w:num w:numId="19">
    <w:abstractNumId w:val="37"/>
  </w:num>
  <w:num w:numId="20">
    <w:abstractNumId w:val="44"/>
  </w:num>
  <w:num w:numId="21">
    <w:abstractNumId w:val="7"/>
  </w:num>
  <w:num w:numId="22">
    <w:abstractNumId w:val="33"/>
  </w:num>
  <w:num w:numId="23">
    <w:abstractNumId w:val="8"/>
  </w:num>
  <w:num w:numId="24">
    <w:abstractNumId w:val="23"/>
  </w:num>
  <w:num w:numId="25">
    <w:abstractNumId w:val="13"/>
  </w:num>
  <w:num w:numId="26">
    <w:abstractNumId w:val="31"/>
  </w:num>
  <w:num w:numId="27">
    <w:abstractNumId w:val="36"/>
  </w:num>
  <w:num w:numId="28">
    <w:abstractNumId w:val="17"/>
  </w:num>
  <w:num w:numId="29">
    <w:abstractNumId w:val="34"/>
  </w:num>
  <w:num w:numId="30">
    <w:abstractNumId w:val="19"/>
  </w:num>
  <w:num w:numId="31">
    <w:abstractNumId w:val="43"/>
  </w:num>
  <w:num w:numId="32">
    <w:abstractNumId w:val="11"/>
  </w:num>
  <w:num w:numId="33">
    <w:abstractNumId w:val="3"/>
  </w:num>
  <w:num w:numId="34">
    <w:abstractNumId w:val="21"/>
  </w:num>
  <w:num w:numId="35">
    <w:abstractNumId w:val="30"/>
  </w:num>
  <w:num w:numId="36">
    <w:abstractNumId w:val="40"/>
  </w:num>
  <w:num w:numId="37">
    <w:abstractNumId w:val="10"/>
  </w:num>
  <w:num w:numId="38">
    <w:abstractNumId w:val="5"/>
  </w:num>
  <w:num w:numId="39">
    <w:abstractNumId w:val="42"/>
  </w:num>
  <w:num w:numId="40">
    <w:abstractNumId w:val="29"/>
  </w:num>
  <w:num w:numId="41">
    <w:abstractNumId w:val="41"/>
  </w:num>
  <w:num w:numId="42">
    <w:abstractNumId w:val="14"/>
  </w:num>
  <w:num w:numId="43">
    <w:abstractNumId w:val="16"/>
  </w:num>
  <w:num w:numId="44">
    <w:abstractNumId w:val="27"/>
  </w:num>
  <w:num w:numId="45">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4"/>
  <w:defaultTabStop w:val="720"/>
  <w:drawingGridHorizontalSpacing w:val="110"/>
  <w:displayHorizontalDrawingGridEvery w:val="2"/>
  <w:characterSpacingControl w:val="doNotCompress"/>
  <w:hdrShapeDefaults>
    <o:shapedefaults v:ext="edit" spidmax="4097" fill="f" fillcolor="white" stroke="f">
      <v:fill color="white" on="f"/>
      <v:stroke on="f"/>
      <o:colormru v:ext="edit" colors="#008c8d"/>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842"/>
    <w:rsid w:val="000004B8"/>
    <w:rsid w:val="00000F72"/>
    <w:rsid w:val="000014C1"/>
    <w:rsid w:val="0000464A"/>
    <w:rsid w:val="00004909"/>
    <w:rsid w:val="00004FFE"/>
    <w:rsid w:val="00005827"/>
    <w:rsid w:val="000115B9"/>
    <w:rsid w:val="00012E59"/>
    <w:rsid w:val="0001378F"/>
    <w:rsid w:val="00013A79"/>
    <w:rsid w:val="00015E92"/>
    <w:rsid w:val="000165F8"/>
    <w:rsid w:val="00021DEF"/>
    <w:rsid w:val="00022202"/>
    <w:rsid w:val="00022F8E"/>
    <w:rsid w:val="000242DF"/>
    <w:rsid w:val="0002555B"/>
    <w:rsid w:val="00025AED"/>
    <w:rsid w:val="000268E0"/>
    <w:rsid w:val="00027727"/>
    <w:rsid w:val="00031278"/>
    <w:rsid w:val="000318EC"/>
    <w:rsid w:val="00034490"/>
    <w:rsid w:val="000353D5"/>
    <w:rsid w:val="0003551C"/>
    <w:rsid w:val="00035DEE"/>
    <w:rsid w:val="00035F40"/>
    <w:rsid w:val="00037EB9"/>
    <w:rsid w:val="0004051B"/>
    <w:rsid w:val="000411B9"/>
    <w:rsid w:val="0004157B"/>
    <w:rsid w:val="00041821"/>
    <w:rsid w:val="00041EF1"/>
    <w:rsid w:val="0004334B"/>
    <w:rsid w:val="00043E48"/>
    <w:rsid w:val="0004423B"/>
    <w:rsid w:val="000449B7"/>
    <w:rsid w:val="00045622"/>
    <w:rsid w:val="0004637B"/>
    <w:rsid w:val="00047D21"/>
    <w:rsid w:val="000506B1"/>
    <w:rsid w:val="000516ED"/>
    <w:rsid w:val="0005314A"/>
    <w:rsid w:val="0005505B"/>
    <w:rsid w:val="000566C7"/>
    <w:rsid w:val="000572D7"/>
    <w:rsid w:val="00057DB3"/>
    <w:rsid w:val="00061420"/>
    <w:rsid w:val="00061435"/>
    <w:rsid w:val="00061B24"/>
    <w:rsid w:val="00062D27"/>
    <w:rsid w:val="00065862"/>
    <w:rsid w:val="00065DBA"/>
    <w:rsid w:val="00066332"/>
    <w:rsid w:val="0006670B"/>
    <w:rsid w:val="00066D37"/>
    <w:rsid w:val="00070904"/>
    <w:rsid w:val="00070EC2"/>
    <w:rsid w:val="00071194"/>
    <w:rsid w:val="00071A7A"/>
    <w:rsid w:val="00071AA4"/>
    <w:rsid w:val="00071CE6"/>
    <w:rsid w:val="00071CF0"/>
    <w:rsid w:val="000721CF"/>
    <w:rsid w:val="000762A4"/>
    <w:rsid w:val="0007704F"/>
    <w:rsid w:val="000800DF"/>
    <w:rsid w:val="00082423"/>
    <w:rsid w:val="00083C9D"/>
    <w:rsid w:val="00084B0C"/>
    <w:rsid w:val="00084EE4"/>
    <w:rsid w:val="0008764D"/>
    <w:rsid w:val="00090495"/>
    <w:rsid w:val="00090594"/>
    <w:rsid w:val="00090745"/>
    <w:rsid w:val="00091A24"/>
    <w:rsid w:val="00091DCC"/>
    <w:rsid w:val="000921C2"/>
    <w:rsid w:val="000936AD"/>
    <w:rsid w:val="0009371C"/>
    <w:rsid w:val="00094436"/>
    <w:rsid w:val="00094A92"/>
    <w:rsid w:val="00094B20"/>
    <w:rsid w:val="000957B0"/>
    <w:rsid w:val="000970AB"/>
    <w:rsid w:val="000977B5"/>
    <w:rsid w:val="000A0054"/>
    <w:rsid w:val="000A0327"/>
    <w:rsid w:val="000A0EB9"/>
    <w:rsid w:val="000A0F5C"/>
    <w:rsid w:val="000A1051"/>
    <w:rsid w:val="000A2A2B"/>
    <w:rsid w:val="000A2C7B"/>
    <w:rsid w:val="000A4181"/>
    <w:rsid w:val="000A4590"/>
    <w:rsid w:val="000A4ABF"/>
    <w:rsid w:val="000A4EAB"/>
    <w:rsid w:val="000A529E"/>
    <w:rsid w:val="000A6006"/>
    <w:rsid w:val="000A6BA2"/>
    <w:rsid w:val="000B0BC4"/>
    <w:rsid w:val="000B12CE"/>
    <w:rsid w:val="000B19CC"/>
    <w:rsid w:val="000B22AD"/>
    <w:rsid w:val="000B28B7"/>
    <w:rsid w:val="000B48A4"/>
    <w:rsid w:val="000B49CE"/>
    <w:rsid w:val="000B4A17"/>
    <w:rsid w:val="000B5257"/>
    <w:rsid w:val="000B5606"/>
    <w:rsid w:val="000B5668"/>
    <w:rsid w:val="000B5D1B"/>
    <w:rsid w:val="000B5DD6"/>
    <w:rsid w:val="000B6CC8"/>
    <w:rsid w:val="000B7D6E"/>
    <w:rsid w:val="000C239B"/>
    <w:rsid w:val="000C3689"/>
    <w:rsid w:val="000C548B"/>
    <w:rsid w:val="000D27BB"/>
    <w:rsid w:val="000D6AAB"/>
    <w:rsid w:val="000E79DA"/>
    <w:rsid w:val="000F0419"/>
    <w:rsid w:val="000F06A7"/>
    <w:rsid w:val="000F1560"/>
    <w:rsid w:val="000F17BD"/>
    <w:rsid w:val="000F2235"/>
    <w:rsid w:val="000F2A61"/>
    <w:rsid w:val="000F2C41"/>
    <w:rsid w:val="000F4A6C"/>
    <w:rsid w:val="000F52AC"/>
    <w:rsid w:val="000F63F1"/>
    <w:rsid w:val="000F71F4"/>
    <w:rsid w:val="000F78D6"/>
    <w:rsid w:val="00101DF0"/>
    <w:rsid w:val="00102FEA"/>
    <w:rsid w:val="001045D8"/>
    <w:rsid w:val="00104D4A"/>
    <w:rsid w:val="001057E0"/>
    <w:rsid w:val="001062D0"/>
    <w:rsid w:val="00106DA0"/>
    <w:rsid w:val="00107A56"/>
    <w:rsid w:val="00114024"/>
    <w:rsid w:val="0011408E"/>
    <w:rsid w:val="0011627D"/>
    <w:rsid w:val="0011730F"/>
    <w:rsid w:val="00123958"/>
    <w:rsid w:val="00124119"/>
    <w:rsid w:val="00124D7C"/>
    <w:rsid w:val="00124E03"/>
    <w:rsid w:val="00125743"/>
    <w:rsid w:val="001264CD"/>
    <w:rsid w:val="00127FAF"/>
    <w:rsid w:val="00130453"/>
    <w:rsid w:val="001307A7"/>
    <w:rsid w:val="0013184D"/>
    <w:rsid w:val="00133598"/>
    <w:rsid w:val="001347E2"/>
    <w:rsid w:val="00134ECE"/>
    <w:rsid w:val="00135EC6"/>
    <w:rsid w:val="001377A3"/>
    <w:rsid w:val="00137F50"/>
    <w:rsid w:val="00140CC2"/>
    <w:rsid w:val="001417C5"/>
    <w:rsid w:val="001421C4"/>
    <w:rsid w:val="00142B90"/>
    <w:rsid w:val="00142DD6"/>
    <w:rsid w:val="00144EB9"/>
    <w:rsid w:val="0014577C"/>
    <w:rsid w:val="0014709D"/>
    <w:rsid w:val="001526A7"/>
    <w:rsid w:val="00153891"/>
    <w:rsid w:val="00154318"/>
    <w:rsid w:val="00155007"/>
    <w:rsid w:val="00155463"/>
    <w:rsid w:val="00155B45"/>
    <w:rsid w:val="00155EB9"/>
    <w:rsid w:val="00156CF3"/>
    <w:rsid w:val="001578C9"/>
    <w:rsid w:val="00161B78"/>
    <w:rsid w:val="00162730"/>
    <w:rsid w:val="00162BEF"/>
    <w:rsid w:val="00162CC1"/>
    <w:rsid w:val="00162EE6"/>
    <w:rsid w:val="00162F02"/>
    <w:rsid w:val="00163318"/>
    <w:rsid w:val="00163412"/>
    <w:rsid w:val="00164AD0"/>
    <w:rsid w:val="001651F1"/>
    <w:rsid w:val="00170906"/>
    <w:rsid w:val="00170B59"/>
    <w:rsid w:val="0017166D"/>
    <w:rsid w:val="00172059"/>
    <w:rsid w:val="00172439"/>
    <w:rsid w:val="00173142"/>
    <w:rsid w:val="001732BC"/>
    <w:rsid w:val="001734CA"/>
    <w:rsid w:val="00173A95"/>
    <w:rsid w:val="00175A41"/>
    <w:rsid w:val="00180069"/>
    <w:rsid w:val="00180B24"/>
    <w:rsid w:val="0018174A"/>
    <w:rsid w:val="00182E3B"/>
    <w:rsid w:val="00182EE3"/>
    <w:rsid w:val="00183408"/>
    <w:rsid w:val="00183F02"/>
    <w:rsid w:val="00185296"/>
    <w:rsid w:val="00185E2B"/>
    <w:rsid w:val="00186E2D"/>
    <w:rsid w:val="00190086"/>
    <w:rsid w:val="0019031E"/>
    <w:rsid w:val="00196D13"/>
    <w:rsid w:val="00196F68"/>
    <w:rsid w:val="001972BB"/>
    <w:rsid w:val="001A2527"/>
    <w:rsid w:val="001A4048"/>
    <w:rsid w:val="001A4C4C"/>
    <w:rsid w:val="001A4E8B"/>
    <w:rsid w:val="001A5551"/>
    <w:rsid w:val="001A6755"/>
    <w:rsid w:val="001A72D5"/>
    <w:rsid w:val="001A777F"/>
    <w:rsid w:val="001B0248"/>
    <w:rsid w:val="001B0761"/>
    <w:rsid w:val="001B09AE"/>
    <w:rsid w:val="001B0DC2"/>
    <w:rsid w:val="001B17B5"/>
    <w:rsid w:val="001B252B"/>
    <w:rsid w:val="001B301A"/>
    <w:rsid w:val="001B3A1D"/>
    <w:rsid w:val="001B3A93"/>
    <w:rsid w:val="001B4800"/>
    <w:rsid w:val="001B4B68"/>
    <w:rsid w:val="001B6060"/>
    <w:rsid w:val="001C07DF"/>
    <w:rsid w:val="001C092B"/>
    <w:rsid w:val="001C2A1F"/>
    <w:rsid w:val="001C346F"/>
    <w:rsid w:val="001C3478"/>
    <w:rsid w:val="001C725E"/>
    <w:rsid w:val="001C756F"/>
    <w:rsid w:val="001C7964"/>
    <w:rsid w:val="001D002E"/>
    <w:rsid w:val="001D03F7"/>
    <w:rsid w:val="001D089D"/>
    <w:rsid w:val="001D09E6"/>
    <w:rsid w:val="001D1EF2"/>
    <w:rsid w:val="001D2B31"/>
    <w:rsid w:val="001D2DD9"/>
    <w:rsid w:val="001D2E37"/>
    <w:rsid w:val="001D31D5"/>
    <w:rsid w:val="001D43AD"/>
    <w:rsid w:val="001D50F9"/>
    <w:rsid w:val="001D5646"/>
    <w:rsid w:val="001D677D"/>
    <w:rsid w:val="001D74EE"/>
    <w:rsid w:val="001D75BC"/>
    <w:rsid w:val="001D7B36"/>
    <w:rsid w:val="001E1833"/>
    <w:rsid w:val="001E2974"/>
    <w:rsid w:val="001E3648"/>
    <w:rsid w:val="001E47F2"/>
    <w:rsid w:val="001E6772"/>
    <w:rsid w:val="001E7F81"/>
    <w:rsid w:val="001F269E"/>
    <w:rsid w:val="001F3867"/>
    <w:rsid w:val="001F51EC"/>
    <w:rsid w:val="001F660B"/>
    <w:rsid w:val="001F6F84"/>
    <w:rsid w:val="001F6FC3"/>
    <w:rsid w:val="001F7BE3"/>
    <w:rsid w:val="00200373"/>
    <w:rsid w:val="00200B1E"/>
    <w:rsid w:val="00201B07"/>
    <w:rsid w:val="002038DC"/>
    <w:rsid w:val="002043C4"/>
    <w:rsid w:val="002057EE"/>
    <w:rsid w:val="002078DE"/>
    <w:rsid w:val="00207C91"/>
    <w:rsid w:val="00210625"/>
    <w:rsid w:val="00211507"/>
    <w:rsid w:val="00212A6F"/>
    <w:rsid w:val="002135C5"/>
    <w:rsid w:val="00213EFD"/>
    <w:rsid w:val="002145F9"/>
    <w:rsid w:val="00214E8E"/>
    <w:rsid w:val="002150E0"/>
    <w:rsid w:val="002165B7"/>
    <w:rsid w:val="00216F51"/>
    <w:rsid w:val="0021703B"/>
    <w:rsid w:val="00217ECB"/>
    <w:rsid w:val="00220A11"/>
    <w:rsid w:val="00220FD4"/>
    <w:rsid w:val="002226BD"/>
    <w:rsid w:val="00222A0D"/>
    <w:rsid w:val="00223485"/>
    <w:rsid w:val="0022464F"/>
    <w:rsid w:val="00225211"/>
    <w:rsid w:val="00231CB0"/>
    <w:rsid w:val="00232512"/>
    <w:rsid w:val="00233A35"/>
    <w:rsid w:val="0023441C"/>
    <w:rsid w:val="00236084"/>
    <w:rsid w:val="00237FC7"/>
    <w:rsid w:val="00240511"/>
    <w:rsid w:val="00240DFC"/>
    <w:rsid w:val="00240F39"/>
    <w:rsid w:val="00241966"/>
    <w:rsid w:val="00241ABC"/>
    <w:rsid w:val="00241DB4"/>
    <w:rsid w:val="00242675"/>
    <w:rsid w:val="00242AED"/>
    <w:rsid w:val="002442D6"/>
    <w:rsid w:val="0024434A"/>
    <w:rsid w:val="00244CF8"/>
    <w:rsid w:val="0024505E"/>
    <w:rsid w:val="00245670"/>
    <w:rsid w:val="002461EE"/>
    <w:rsid w:val="00251D7A"/>
    <w:rsid w:val="00252871"/>
    <w:rsid w:val="002549F5"/>
    <w:rsid w:val="00255CC4"/>
    <w:rsid w:val="00256692"/>
    <w:rsid w:val="00257110"/>
    <w:rsid w:val="00257C37"/>
    <w:rsid w:val="00257C40"/>
    <w:rsid w:val="002609A9"/>
    <w:rsid w:val="00260CD9"/>
    <w:rsid w:val="00260E8C"/>
    <w:rsid w:val="002618C2"/>
    <w:rsid w:val="002631AE"/>
    <w:rsid w:val="002655EE"/>
    <w:rsid w:val="00265D0B"/>
    <w:rsid w:val="00266ADD"/>
    <w:rsid w:val="00271355"/>
    <w:rsid w:val="00272048"/>
    <w:rsid w:val="002734C1"/>
    <w:rsid w:val="00274009"/>
    <w:rsid w:val="00274F7A"/>
    <w:rsid w:val="00275036"/>
    <w:rsid w:val="00275AF8"/>
    <w:rsid w:val="00276407"/>
    <w:rsid w:val="002766E1"/>
    <w:rsid w:val="002808AF"/>
    <w:rsid w:val="002812DC"/>
    <w:rsid w:val="0028244E"/>
    <w:rsid w:val="002827B4"/>
    <w:rsid w:val="00282B74"/>
    <w:rsid w:val="00283262"/>
    <w:rsid w:val="0028454F"/>
    <w:rsid w:val="00284583"/>
    <w:rsid w:val="00284774"/>
    <w:rsid w:val="00285FE8"/>
    <w:rsid w:val="00286A65"/>
    <w:rsid w:val="00287A76"/>
    <w:rsid w:val="002904AB"/>
    <w:rsid w:val="00292DC2"/>
    <w:rsid w:val="00293E5E"/>
    <w:rsid w:val="0029431A"/>
    <w:rsid w:val="002946B1"/>
    <w:rsid w:val="00294988"/>
    <w:rsid w:val="00296387"/>
    <w:rsid w:val="002964F8"/>
    <w:rsid w:val="0029725F"/>
    <w:rsid w:val="002A09AF"/>
    <w:rsid w:val="002A2016"/>
    <w:rsid w:val="002A5B0C"/>
    <w:rsid w:val="002A5D96"/>
    <w:rsid w:val="002A64FA"/>
    <w:rsid w:val="002A66C1"/>
    <w:rsid w:val="002A7277"/>
    <w:rsid w:val="002B0399"/>
    <w:rsid w:val="002B09E2"/>
    <w:rsid w:val="002B0E84"/>
    <w:rsid w:val="002B14AD"/>
    <w:rsid w:val="002B38A4"/>
    <w:rsid w:val="002B52C8"/>
    <w:rsid w:val="002B5543"/>
    <w:rsid w:val="002B5D3B"/>
    <w:rsid w:val="002C22E2"/>
    <w:rsid w:val="002C406B"/>
    <w:rsid w:val="002C502E"/>
    <w:rsid w:val="002C58D0"/>
    <w:rsid w:val="002C5F5C"/>
    <w:rsid w:val="002C62EE"/>
    <w:rsid w:val="002C702C"/>
    <w:rsid w:val="002C7171"/>
    <w:rsid w:val="002C7798"/>
    <w:rsid w:val="002C7A62"/>
    <w:rsid w:val="002D06A2"/>
    <w:rsid w:val="002D0880"/>
    <w:rsid w:val="002D15F2"/>
    <w:rsid w:val="002D2452"/>
    <w:rsid w:val="002D34A0"/>
    <w:rsid w:val="002D4F93"/>
    <w:rsid w:val="002D65C2"/>
    <w:rsid w:val="002D7139"/>
    <w:rsid w:val="002D7E82"/>
    <w:rsid w:val="002E10B8"/>
    <w:rsid w:val="002E1B83"/>
    <w:rsid w:val="002E1C2F"/>
    <w:rsid w:val="002E3B15"/>
    <w:rsid w:val="002E48CC"/>
    <w:rsid w:val="002E55E2"/>
    <w:rsid w:val="002E5F04"/>
    <w:rsid w:val="002E6034"/>
    <w:rsid w:val="002E6ABD"/>
    <w:rsid w:val="002E6FA8"/>
    <w:rsid w:val="002E74C0"/>
    <w:rsid w:val="002E79EE"/>
    <w:rsid w:val="002F04FD"/>
    <w:rsid w:val="002F14D7"/>
    <w:rsid w:val="002F1F8F"/>
    <w:rsid w:val="002F20E3"/>
    <w:rsid w:val="002F2BAF"/>
    <w:rsid w:val="002F2E7C"/>
    <w:rsid w:val="002F6B98"/>
    <w:rsid w:val="002F71FF"/>
    <w:rsid w:val="002F74AC"/>
    <w:rsid w:val="002F798F"/>
    <w:rsid w:val="00300B61"/>
    <w:rsid w:val="00302506"/>
    <w:rsid w:val="00310C1E"/>
    <w:rsid w:val="00310FEA"/>
    <w:rsid w:val="003110B7"/>
    <w:rsid w:val="003119AD"/>
    <w:rsid w:val="003130CA"/>
    <w:rsid w:val="00313A04"/>
    <w:rsid w:val="003153E0"/>
    <w:rsid w:val="0032005F"/>
    <w:rsid w:val="00320338"/>
    <w:rsid w:val="003212DE"/>
    <w:rsid w:val="00321891"/>
    <w:rsid w:val="00321929"/>
    <w:rsid w:val="00321E9B"/>
    <w:rsid w:val="00323E06"/>
    <w:rsid w:val="003248E2"/>
    <w:rsid w:val="00325422"/>
    <w:rsid w:val="003266D3"/>
    <w:rsid w:val="0032713E"/>
    <w:rsid w:val="0032748B"/>
    <w:rsid w:val="00327AC2"/>
    <w:rsid w:val="003328DD"/>
    <w:rsid w:val="00332A1D"/>
    <w:rsid w:val="003338CB"/>
    <w:rsid w:val="003341DA"/>
    <w:rsid w:val="003341F8"/>
    <w:rsid w:val="00334DC8"/>
    <w:rsid w:val="0033791A"/>
    <w:rsid w:val="003400E7"/>
    <w:rsid w:val="0034348A"/>
    <w:rsid w:val="0034410A"/>
    <w:rsid w:val="0034447E"/>
    <w:rsid w:val="00347EC5"/>
    <w:rsid w:val="00351374"/>
    <w:rsid w:val="00351EF4"/>
    <w:rsid w:val="00351F97"/>
    <w:rsid w:val="00352846"/>
    <w:rsid w:val="0035362C"/>
    <w:rsid w:val="0035380E"/>
    <w:rsid w:val="00353C15"/>
    <w:rsid w:val="003565DC"/>
    <w:rsid w:val="00360A6C"/>
    <w:rsid w:val="00361138"/>
    <w:rsid w:val="0036139F"/>
    <w:rsid w:val="00361C02"/>
    <w:rsid w:val="00364161"/>
    <w:rsid w:val="00365141"/>
    <w:rsid w:val="003656C2"/>
    <w:rsid w:val="003659FB"/>
    <w:rsid w:val="00366D8D"/>
    <w:rsid w:val="003730BA"/>
    <w:rsid w:val="0037315A"/>
    <w:rsid w:val="00373473"/>
    <w:rsid w:val="00373AB4"/>
    <w:rsid w:val="00373B43"/>
    <w:rsid w:val="00374BAE"/>
    <w:rsid w:val="0037711C"/>
    <w:rsid w:val="003771C9"/>
    <w:rsid w:val="00377762"/>
    <w:rsid w:val="00377D7D"/>
    <w:rsid w:val="00377EAC"/>
    <w:rsid w:val="00380E45"/>
    <w:rsid w:val="0038191C"/>
    <w:rsid w:val="00381CAA"/>
    <w:rsid w:val="00382C40"/>
    <w:rsid w:val="00383906"/>
    <w:rsid w:val="003842FF"/>
    <w:rsid w:val="003844BA"/>
    <w:rsid w:val="00385296"/>
    <w:rsid w:val="00387B2F"/>
    <w:rsid w:val="0039062A"/>
    <w:rsid w:val="00390707"/>
    <w:rsid w:val="00391192"/>
    <w:rsid w:val="003943B3"/>
    <w:rsid w:val="003944CD"/>
    <w:rsid w:val="00395646"/>
    <w:rsid w:val="00395922"/>
    <w:rsid w:val="00395A57"/>
    <w:rsid w:val="003A0628"/>
    <w:rsid w:val="003A1FFD"/>
    <w:rsid w:val="003A2D2A"/>
    <w:rsid w:val="003A45FB"/>
    <w:rsid w:val="003A4B20"/>
    <w:rsid w:val="003A4EBF"/>
    <w:rsid w:val="003A5658"/>
    <w:rsid w:val="003A6CB3"/>
    <w:rsid w:val="003A6E73"/>
    <w:rsid w:val="003A6FBE"/>
    <w:rsid w:val="003B0748"/>
    <w:rsid w:val="003B1271"/>
    <w:rsid w:val="003B287A"/>
    <w:rsid w:val="003B2DE0"/>
    <w:rsid w:val="003B2F5E"/>
    <w:rsid w:val="003B45AA"/>
    <w:rsid w:val="003B5F4C"/>
    <w:rsid w:val="003C14BE"/>
    <w:rsid w:val="003C18EC"/>
    <w:rsid w:val="003C39EB"/>
    <w:rsid w:val="003C3A0A"/>
    <w:rsid w:val="003C53AB"/>
    <w:rsid w:val="003C541D"/>
    <w:rsid w:val="003C597E"/>
    <w:rsid w:val="003C5A35"/>
    <w:rsid w:val="003C69C4"/>
    <w:rsid w:val="003D0198"/>
    <w:rsid w:val="003D1A6D"/>
    <w:rsid w:val="003D206E"/>
    <w:rsid w:val="003D259F"/>
    <w:rsid w:val="003D2B71"/>
    <w:rsid w:val="003D3BED"/>
    <w:rsid w:val="003D4BBC"/>
    <w:rsid w:val="003D5BEA"/>
    <w:rsid w:val="003D68DE"/>
    <w:rsid w:val="003D69CA"/>
    <w:rsid w:val="003E03EB"/>
    <w:rsid w:val="003E320A"/>
    <w:rsid w:val="003E37E6"/>
    <w:rsid w:val="003E4740"/>
    <w:rsid w:val="003E4809"/>
    <w:rsid w:val="003E56F7"/>
    <w:rsid w:val="003E5BD8"/>
    <w:rsid w:val="003E5D88"/>
    <w:rsid w:val="003E6455"/>
    <w:rsid w:val="003E65EF"/>
    <w:rsid w:val="003E6985"/>
    <w:rsid w:val="003E6BD4"/>
    <w:rsid w:val="003E75EE"/>
    <w:rsid w:val="003F0359"/>
    <w:rsid w:val="003F1428"/>
    <w:rsid w:val="003F1B3C"/>
    <w:rsid w:val="003F238B"/>
    <w:rsid w:val="003F25F0"/>
    <w:rsid w:val="003F261E"/>
    <w:rsid w:val="003F4DCA"/>
    <w:rsid w:val="003F6219"/>
    <w:rsid w:val="003F67DB"/>
    <w:rsid w:val="003F6966"/>
    <w:rsid w:val="003F775A"/>
    <w:rsid w:val="00400146"/>
    <w:rsid w:val="004001B1"/>
    <w:rsid w:val="00400B9A"/>
    <w:rsid w:val="004028D7"/>
    <w:rsid w:val="00403DD6"/>
    <w:rsid w:val="004063DF"/>
    <w:rsid w:val="00407C0C"/>
    <w:rsid w:val="00410845"/>
    <w:rsid w:val="004119EF"/>
    <w:rsid w:val="00412A25"/>
    <w:rsid w:val="00413782"/>
    <w:rsid w:val="00415247"/>
    <w:rsid w:val="00416B3C"/>
    <w:rsid w:val="00416C43"/>
    <w:rsid w:val="004215E7"/>
    <w:rsid w:val="00421803"/>
    <w:rsid w:val="00424AD4"/>
    <w:rsid w:val="0042678F"/>
    <w:rsid w:val="00432CDB"/>
    <w:rsid w:val="0043334D"/>
    <w:rsid w:val="00433524"/>
    <w:rsid w:val="00434C4E"/>
    <w:rsid w:val="00435476"/>
    <w:rsid w:val="0043556B"/>
    <w:rsid w:val="004363D7"/>
    <w:rsid w:val="004372C5"/>
    <w:rsid w:val="00437BBF"/>
    <w:rsid w:val="00440E50"/>
    <w:rsid w:val="00441703"/>
    <w:rsid w:val="00442568"/>
    <w:rsid w:val="00443631"/>
    <w:rsid w:val="00444CD1"/>
    <w:rsid w:val="0044677C"/>
    <w:rsid w:val="00447064"/>
    <w:rsid w:val="0045066D"/>
    <w:rsid w:val="00450AE6"/>
    <w:rsid w:val="00450C55"/>
    <w:rsid w:val="004535F2"/>
    <w:rsid w:val="00453FC9"/>
    <w:rsid w:val="00454736"/>
    <w:rsid w:val="00456523"/>
    <w:rsid w:val="00460AAA"/>
    <w:rsid w:val="004610CD"/>
    <w:rsid w:val="00462F07"/>
    <w:rsid w:val="00463D4C"/>
    <w:rsid w:val="00464784"/>
    <w:rsid w:val="00465D80"/>
    <w:rsid w:val="0046679D"/>
    <w:rsid w:val="00466977"/>
    <w:rsid w:val="00470E47"/>
    <w:rsid w:val="00474341"/>
    <w:rsid w:val="00474B91"/>
    <w:rsid w:val="00474EE7"/>
    <w:rsid w:val="00474F8B"/>
    <w:rsid w:val="0047625D"/>
    <w:rsid w:val="004807B3"/>
    <w:rsid w:val="00481CB0"/>
    <w:rsid w:val="0048238D"/>
    <w:rsid w:val="00483468"/>
    <w:rsid w:val="004836FC"/>
    <w:rsid w:val="00483E12"/>
    <w:rsid w:val="00484022"/>
    <w:rsid w:val="00485F75"/>
    <w:rsid w:val="00486A06"/>
    <w:rsid w:val="00486E5B"/>
    <w:rsid w:val="00490ABA"/>
    <w:rsid w:val="00492BB8"/>
    <w:rsid w:val="00492DE0"/>
    <w:rsid w:val="00494815"/>
    <w:rsid w:val="0049678D"/>
    <w:rsid w:val="004968C8"/>
    <w:rsid w:val="00497EB1"/>
    <w:rsid w:val="004A09F7"/>
    <w:rsid w:val="004A406B"/>
    <w:rsid w:val="004A4E60"/>
    <w:rsid w:val="004A6822"/>
    <w:rsid w:val="004A7206"/>
    <w:rsid w:val="004A7248"/>
    <w:rsid w:val="004A726A"/>
    <w:rsid w:val="004B0284"/>
    <w:rsid w:val="004B064B"/>
    <w:rsid w:val="004B12CE"/>
    <w:rsid w:val="004B1F9E"/>
    <w:rsid w:val="004B2718"/>
    <w:rsid w:val="004B381F"/>
    <w:rsid w:val="004B4576"/>
    <w:rsid w:val="004B4810"/>
    <w:rsid w:val="004B4FA0"/>
    <w:rsid w:val="004B55D7"/>
    <w:rsid w:val="004B56C3"/>
    <w:rsid w:val="004B59FC"/>
    <w:rsid w:val="004B5E18"/>
    <w:rsid w:val="004B6977"/>
    <w:rsid w:val="004B6DCD"/>
    <w:rsid w:val="004B7013"/>
    <w:rsid w:val="004B768C"/>
    <w:rsid w:val="004B7D48"/>
    <w:rsid w:val="004C26DD"/>
    <w:rsid w:val="004C34D0"/>
    <w:rsid w:val="004C481B"/>
    <w:rsid w:val="004C4EBF"/>
    <w:rsid w:val="004C501C"/>
    <w:rsid w:val="004C5DEA"/>
    <w:rsid w:val="004C655D"/>
    <w:rsid w:val="004D0ADE"/>
    <w:rsid w:val="004D1624"/>
    <w:rsid w:val="004D17E0"/>
    <w:rsid w:val="004D1B89"/>
    <w:rsid w:val="004D1DB5"/>
    <w:rsid w:val="004D21C5"/>
    <w:rsid w:val="004D34FD"/>
    <w:rsid w:val="004D3D3F"/>
    <w:rsid w:val="004D3F81"/>
    <w:rsid w:val="004D4858"/>
    <w:rsid w:val="004D6EF7"/>
    <w:rsid w:val="004D7480"/>
    <w:rsid w:val="004D78C1"/>
    <w:rsid w:val="004E14CF"/>
    <w:rsid w:val="004E2083"/>
    <w:rsid w:val="004E28C5"/>
    <w:rsid w:val="004E3D82"/>
    <w:rsid w:val="004E41A0"/>
    <w:rsid w:val="004E5E4F"/>
    <w:rsid w:val="004E608A"/>
    <w:rsid w:val="004E614F"/>
    <w:rsid w:val="004E7FAE"/>
    <w:rsid w:val="004F214A"/>
    <w:rsid w:val="004F2BFC"/>
    <w:rsid w:val="004F4260"/>
    <w:rsid w:val="004F4AA8"/>
    <w:rsid w:val="004F5C44"/>
    <w:rsid w:val="0050188A"/>
    <w:rsid w:val="00502C98"/>
    <w:rsid w:val="00503E99"/>
    <w:rsid w:val="00504AAE"/>
    <w:rsid w:val="00504C22"/>
    <w:rsid w:val="00505637"/>
    <w:rsid w:val="005058EB"/>
    <w:rsid w:val="005102D2"/>
    <w:rsid w:val="00511216"/>
    <w:rsid w:val="00511B73"/>
    <w:rsid w:val="00512BD0"/>
    <w:rsid w:val="00512C1A"/>
    <w:rsid w:val="0051306C"/>
    <w:rsid w:val="005132F8"/>
    <w:rsid w:val="005137C1"/>
    <w:rsid w:val="00514E1E"/>
    <w:rsid w:val="0051504B"/>
    <w:rsid w:val="00515068"/>
    <w:rsid w:val="0051523F"/>
    <w:rsid w:val="0051603F"/>
    <w:rsid w:val="0051633D"/>
    <w:rsid w:val="00516A05"/>
    <w:rsid w:val="005221C9"/>
    <w:rsid w:val="00522AD5"/>
    <w:rsid w:val="005230F4"/>
    <w:rsid w:val="00524229"/>
    <w:rsid w:val="0052454A"/>
    <w:rsid w:val="00525B48"/>
    <w:rsid w:val="00526CCF"/>
    <w:rsid w:val="00527CCB"/>
    <w:rsid w:val="005302A6"/>
    <w:rsid w:val="00530EAF"/>
    <w:rsid w:val="00530F5E"/>
    <w:rsid w:val="00532043"/>
    <w:rsid w:val="00532797"/>
    <w:rsid w:val="00535870"/>
    <w:rsid w:val="00537421"/>
    <w:rsid w:val="00540816"/>
    <w:rsid w:val="00540DA0"/>
    <w:rsid w:val="005418DF"/>
    <w:rsid w:val="00542C0D"/>
    <w:rsid w:val="00543146"/>
    <w:rsid w:val="00544FA7"/>
    <w:rsid w:val="00545D28"/>
    <w:rsid w:val="0054624A"/>
    <w:rsid w:val="00547695"/>
    <w:rsid w:val="00547BC9"/>
    <w:rsid w:val="00550CE7"/>
    <w:rsid w:val="005510F6"/>
    <w:rsid w:val="00551100"/>
    <w:rsid w:val="005526A3"/>
    <w:rsid w:val="00553423"/>
    <w:rsid w:val="00553B03"/>
    <w:rsid w:val="00553CFC"/>
    <w:rsid w:val="0055417E"/>
    <w:rsid w:val="005543B0"/>
    <w:rsid w:val="00554C56"/>
    <w:rsid w:val="00555492"/>
    <w:rsid w:val="00556BBF"/>
    <w:rsid w:val="0055751E"/>
    <w:rsid w:val="005638FE"/>
    <w:rsid w:val="00564C5A"/>
    <w:rsid w:val="005664F8"/>
    <w:rsid w:val="00566F97"/>
    <w:rsid w:val="00567F97"/>
    <w:rsid w:val="0057104E"/>
    <w:rsid w:val="00573D80"/>
    <w:rsid w:val="00574299"/>
    <w:rsid w:val="00574884"/>
    <w:rsid w:val="00574CD2"/>
    <w:rsid w:val="00574E6B"/>
    <w:rsid w:val="005762A3"/>
    <w:rsid w:val="00577108"/>
    <w:rsid w:val="00580129"/>
    <w:rsid w:val="00581066"/>
    <w:rsid w:val="00581459"/>
    <w:rsid w:val="0058257C"/>
    <w:rsid w:val="00582BD8"/>
    <w:rsid w:val="005833C4"/>
    <w:rsid w:val="00585B30"/>
    <w:rsid w:val="00587227"/>
    <w:rsid w:val="00587443"/>
    <w:rsid w:val="00587DE4"/>
    <w:rsid w:val="00590033"/>
    <w:rsid w:val="0059060A"/>
    <w:rsid w:val="00590AC6"/>
    <w:rsid w:val="00595926"/>
    <w:rsid w:val="00596627"/>
    <w:rsid w:val="00597442"/>
    <w:rsid w:val="0059776E"/>
    <w:rsid w:val="00597C81"/>
    <w:rsid w:val="005A16CF"/>
    <w:rsid w:val="005A1716"/>
    <w:rsid w:val="005A2579"/>
    <w:rsid w:val="005A2A0F"/>
    <w:rsid w:val="005A2DA4"/>
    <w:rsid w:val="005A4D65"/>
    <w:rsid w:val="005A56AB"/>
    <w:rsid w:val="005A6602"/>
    <w:rsid w:val="005A7493"/>
    <w:rsid w:val="005B0870"/>
    <w:rsid w:val="005B1515"/>
    <w:rsid w:val="005B158A"/>
    <w:rsid w:val="005B3D04"/>
    <w:rsid w:val="005B526D"/>
    <w:rsid w:val="005B6DEA"/>
    <w:rsid w:val="005B7651"/>
    <w:rsid w:val="005C2658"/>
    <w:rsid w:val="005C4208"/>
    <w:rsid w:val="005C6020"/>
    <w:rsid w:val="005C6022"/>
    <w:rsid w:val="005C6274"/>
    <w:rsid w:val="005C640F"/>
    <w:rsid w:val="005C7CC8"/>
    <w:rsid w:val="005D059A"/>
    <w:rsid w:val="005D0CF7"/>
    <w:rsid w:val="005D1E2D"/>
    <w:rsid w:val="005D252A"/>
    <w:rsid w:val="005D262D"/>
    <w:rsid w:val="005D5BB5"/>
    <w:rsid w:val="005D6181"/>
    <w:rsid w:val="005D6396"/>
    <w:rsid w:val="005E048F"/>
    <w:rsid w:val="005E07FF"/>
    <w:rsid w:val="005E3517"/>
    <w:rsid w:val="005E3BBC"/>
    <w:rsid w:val="005E41FD"/>
    <w:rsid w:val="005E5D71"/>
    <w:rsid w:val="005E69E3"/>
    <w:rsid w:val="005E6E11"/>
    <w:rsid w:val="005E6E3F"/>
    <w:rsid w:val="005E6EA3"/>
    <w:rsid w:val="005E767C"/>
    <w:rsid w:val="005F2851"/>
    <w:rsid w:val="005F2A98"/>
    <w:rsid w:val="005F44EB"/>
    <w:rsid w:val="005F5402"/>
    <w:rsid w:val="005F65F0"/>
    <w:rsid w:val="005F7881"/>
    <w:rsid w:val="006005E7"/>
    <w:rsid w:val="00601DFF"/>
    <w:rsid w:val="00602181"/>
    <w:rsid w:val="006023EE"/>
    <w:rsid w:val="00602783"/>
    <w:rsid w:val="00602A6D"/>
    <w:rsid w:val="00602C16"/>
    <w:rsid w:val="00602F7A"/>
    <w:rsid w:val="00606BCE"/>
    <w:rsid w:val="006075D2"/>
    <w:rsid w:val="00610CF3"/>
    <w:rsid w:val="00612683"/>
    <w:rsid w:val="00613DFF"/>
    <w:rsid w:val="00613FB6"/>
    <w:rsid w:val="00616C7C"/>
    <w:rsid w:val="00616D7B"/>
    <w:rsid w:val="00617941"/>
    <w:rsid w:val="006179E7"/>
    <w:rsid w:val="00620A2C"/>
    <w:rsid w:val="006217BC"/>
    <w:rsid w:val="006225B4"/>
    <w:rsid w:val="00623142"/>
    <w:rsid w:val="00624110"/>
    <w:rsid w:val="00625162"/>
    <w:rsid w:val="00625E0D"/>
    <w:rsid w:val="0062603B"/>
    <w:rsid w:val="0062642B"/>
    <w:rsid w:val="0062740E"/>
    <w:rsid w:val="0063019D"/>
    <w:rsid w:val="006315F8"/>
    <w:rsid w:val="00632578"/>
    <w:rsid w:val="006330C6"/>
    <w:rsid w:val="00634817"/>
    <w:rsid w:val="006400E7"/>
    <w:rsid w:val="006413D0"/>
    <w:rsid w:val="00641B8D"/>
    <w:rsid w:val="00642165"/>
    <w:rsid w:val="00642601"/>
    <w:rsid w:val="00644D41"/>
    <w:rsid w:val="00646753"/>
    <w:rsid w:val="00646E25"/>
    <w:rsid w:val="00647D0B"/>
    <w:rsid w:val="006529CB"/>
    <w:rsid w:val="00654AE8"/>
    <w:rsid w:val="00656B1D"/>
    <w:rsid w:val="006572B1"/>
    <w:rsid w:val="00657754"/>
    <w:rsid w:val="00657A31"/>
    <w:rsid w:val="00657A94"/>
    <w:rsid w:val="00657C4C"/>
    <w:rsid w:val="0066064D"/>
    <w:rsid w:val="00661051"/>
    <w:rsid w:val="006612F9"/>
    <w:rsid w:val="00661707"/>
    <w:rsid w:val="0066252A"/>
    <w:rsid w:val="00663B2C"/>
    <w:rsid w:val="00665597"/>
    <w:rsid w:val="00665A32"/>
    <w:rsid w:val="00665D33"/>
    <w:rsid w:val="006665E7"/>
    <w:rsid w:val="00666AD1"/>
    <w:rsid w:val="00670D5E"/>
    <w:rsid w:val="0067144F"/>
    <w:rsid w:val="0067161E"/>
    <w:rsid w:val="00671900"/>
    <w:rsid w:val="00671C15"/>
    <w:rsid w:val="00671CE8"/>
    <w:rsid w:val="006729D9"/>
    <w:rsid w:val="006738A6"/>
    <w:rsid w:val="00674738"/>
    <w:rsid w:val="00674D95"/>
    <w:rsid w:val="00675B96"/>
    <w:rsid w:val="0067643D"/>
    <w:rsid w:val="00676C10"/>
    <w:rsid w:val="00677AE0"/>
    <w:rsid w:val="00682E87"/>
    <w:rsid w:val="00683147"/>
    <w:rsid w:val="00684C97"/>
    <w:rsid w:val="006853F4"/>
    <w:rsid w:val="0068658C"/>
    <w:rsid w:val="0068669D"/>
    <w:rsid w:val="00687CFA"/>
    <w:rsid w:val="006900DE"/>
    <w:rsid w:val="00690778"/>
    <w:rsid w:val="006907A7"/>
    <w:rsid w:val="00690AC6"/>
    <w:rsid w:val="00690DF4"/>
    <w:rsid w:val="00690FBA"/>
    <w:rsid w:val="006911D9"/>
    <w:rsid w:val="00691BEC"/>
    <w:rsid w:val="00691C63"/>
    <w:rsid w:val="00691D38"/>
    <w:rsid w:val="006923B5"/>
    <w:rsid w:val="00692730"/>
    <w:rsid w:val="0069448B"/>
    <w:rsid w:val="00694FBA"/>
    <w:rsid w:val="00695B16"/>
    <w:rsid w:val="006968FD"/>
    <w:rsid w:val="00697F70"/>
    <w:rsid w:val="006A0535"/>
    <w:rsid w:val="006A141D"/>
    <w:rsid w:val="006A3185"/>
    <w:rsid w:val="006A32CD"/>
    <w:rsid w:val="006A3BF2"/>
    <w:rsid w:val="006A4950"/>
    <w:rsid w:val="006A4C85"/>
    <w:rsid w:val="006A5C86"/>
    <w:rsid w:val="006A6982"/>
    <w:rsid w:val="006B0608"/>
    <w:rsid w:val="006B07E8"/>
    <w:rsid w:val="006B0E17"/>
    <w:rsid w:val="006B160A"/>
    <w:rsid w:val="006B1BA5"/>
    <w:rsid w:val="006B2895"/>
    <w:rsid w:val="006B319B"/>
    <w:rsid w:val="006B68A8"/>
    <w:rsid w:val="006B7E3B"/>
    <w:rsid w:val="006C0A2E"/>
    <w:rsid w:val="006C2643"/>
    <w:rsid w:val="006C3518"/>
    <w:rsid w:val="006C4AA7"/>
    <w:rsid w:val="006C5EE6"/>
    <w:rsid w:val="006C705C"/>
    <w:rsid w:val="006C7AD2"/>
    <w:rsid w:val="006D0D7C"/>
    <w:rsid w:val="006D14F1"/>
    <w:rsid w:val="006D14F9"/>
    <w:rsid w:val="006D255A"/>
    <w:rsid w:val="006D37EA"/>
    <w:rsid w:val="006D48B0"/>
    <w:rsid w:val="006D67A0"/>
    <w:rsid w:val="006D6D01"/>
    <w:rsid w:val="006D773F"/>
    <w:rsid w:val="006E0CD9"/>
    <w:rsid w:val="006E11C5"/>
    <w:rsid w:val="006E17DA"/>
    <w:rsid w:val="006E3160"/>
    <w:rsid w:val="006E3C7D"/>
    <w:rsid w:val="006E5C00"/>
    <w:rsid w:val="006E647F"/>
    <w:rsid w:val="006F13B1"/>
    <w:rsid w:val="006F1CD4"/>
    <w:rsid w:val="006F20E8"/>
    <w:rsid w:val="006F27E4"/>
    <w:rsid w:val="006F2CF8"/>
    <w:rsid w:val="006F3117"/>
    <w:rsid w:val="006F3476"/>
    <w:rsid w:val="006F5D08"/>
    <w:rsid w:val="006F7F58"/>
    <w:rsid w:val="007003DC"/>
    <w:rsid w:val="00700427"/>
    <w:rsid w:val="00701C8D"/>
    <w:rsid w:val="0070324A"/>
    <w:rsid w:val="007035E0"/>
    <w:rsid w:val="00704337"/>
    <w:rsid w:val="00704563"/>
    <w:rsid w:val="00704654"/>
    <w:rsid w:val="00704780"/>
    <w:rsid w:val="0070595B"/>
    <w:rsid w:val="00706C33"/>
    <w:rsid w:val="00706ECD"/>
    <w:rsid w:val="00707555"/>
    <w:rsid w:val="0070776A"/>
    <w:rsid w:val="00711E33"/>
    <w:rsid w:val="00712F74"/>
    <w:rsid w:val="00714441"/>
    <w:rsid w:val="007155A0"/>
    <w:rsid w:val="00715C5A"/>
    <w:rsid w:val="00715F3F"/>
    <w:rsid w:val="00716083"/>
    <w:rsid w:val="0071664C"/>
    <w:rsid w:val="007167B9"/>
    <w:rsid w:val="007175BF"/>
    <w:rsid w:val="007200FC"/>
    <w:rsid w:val="00721397"/>
    <w:rsid w:val="00721937"/>
    <w:rsid w:val="00721DEA"/>
    <w:rsid w:val="00722839"/>
    <w:rsid w:val="0072383E"/>
    <w:rsid w:val="007241E4"/>
    <w:rsid w:val="00724D42"/>
    <w:rsid w:val="00724EB8"/>
    <w:rsid w:val="007257B2"/>
    <w:rsid w:val="00725C35"/>
    <w:rsid w:val="007309BD"/>
    <w:rsid w:val="00730A27"/>
    <w:rsid w:val="0073155A"/>
    <w:rsid w:val="007315DA"/>
    <w:rsid w:val="007315DF"/>
    <w:rsid w:val="00732AE0"/>
    <w:rsid w:val="00733828"/>
    <w:rsid w:val="00733C1D"/>
    <w:rsid w:val="00734D7C"/>
    <w:rsid w:val="007376F5"/>
    <w:rsid w:val="0074150D"/>
    <w:rsid w:val="00741E58"/>
    <w:rsid w:val="007422B8"/>
    <w:rsid w:val="00744AD8"/>
    <w:rsid w:val="00745995"/>
    <w:rsid w:val="0075023E"/>
    <w:rsid w:val="00750639"/>
    <w:rsid w:val="007509B3"/>
    <w:rsid w:val="00751A10"/>
    <w:rsid w:val="007530A8"/>
    <w:rsid w:val="007533BE"/>
    <w:rsid w:val="007539AC"/>
    <w:rsid w:val="00755DC4"/>
    <w:rsid w:val="007565EB"/>
    <w:rsid w:val="00757AA0"/>
    <w:rsid w:val="007615EE"/>
    <w:rsid w:val="007625B5"/>
    <w:rsid w:val="00764D99"/>
    <w:rsid w:val="007708F5"/>
    <w:rsid w:val="00770E94"/>
    <w:rsid w:val="00772054"/>
    <w:rsid w:val="00772888"/>
    <w:rsid w:val="00773698"/>
    <w:rsid w:val="007739B3"/>
    <w:rsid w:val="00773A38"/>
    <w:rsid w:val="007744A8"/>
    <w:rsid w:val="00774ADF"/>
    <w:rsid w:val="00774B62"/>
    <w:rsid w:val="0077586B"/>
    <w:rsid w:val="00776A52"/>
    <w:rsid w:val="007808E7"/>
    <w:rsid w:val="00780FD2"/>
    <w:rsid w:val="0078134A"/>
    <w:rsid w:val="007823A7"/>
    <w:rsid w:val="00782994"/>
    <w:rsid w:val="00783E90"/>
    <w:rsid w:val="00784EE7"/>
    <w:rsid w:val="00785167"/>
    <w:rsid w:val="00785C24"/>
    <w:rsid w:val="007865EE"/>
    <w:rsid w:val="00787E38"/>
    <w:rsid w:val="00791A04"/>
    <w:rsid w:val="00793643"/>
    <w:rsid w:val="00793909"/>
    <w:rsid w:val="0079417C"/>
    <w:rsid w:val="0079430F"/>
    <w:rsid w:val="007947D4"/>
    <w:rsid w:val="00794F16"/>
    <w:rsid w:val="00795187"/>
    <w:rsid w:val="00795EBA"/>
    <w:rsid w:val="007966A5"/>
    <w:rsid w:val="007977C9"/>
    <w:rsid w:val="00797AC6"/>
    <w:rsid w:val="00797E4F"/>
    <w:rsid w:val="00797FFD"/>
    <w:rsid w:val="007A22C9"/>
    <w:rsid w:val="007A3558"/>
    <w:rsid w:val="007A425C"/>
    <w:rsid w:val="007A6352"/>
    <w:rsid w:val="007A7EB8"/>
    <w:rsid w:val="007B0CAC"/>
    <w:rsid w:val="007B12ED"/>
    <w:rsid w:val="007B5D6C"/>
    <w:rsid w:val="007C2963"/>
    <w:rsid w:val="007C3BAD"/>
    <w:rsid w:val="007C3EE8"/>
    <w:rsid w:val="007C5525"/>
    <w:rsid w:val="007C6417"/>
    <w:rsid w:val="007C7F20"/>
    <w:rsid w:val="007D0820"/>
    <w:rsid w:val="007D26F0"/>
    <w:rsid w:val="007D313B"/>
    <w:rsid w:val="007D3BCC"/>
    <w:rsid w:val="007D3BF3"/>
    <w:rsid w:val="007D3DA6"/>
    <w:rsid w:val="007D6963"/>
    <w:rsid w:val="007E0050"/>
    <w:rsid w:val="007E104E"/>
    <w:rsid w:val="007E21C9"/>
    <w:rsid w:val="007E2BF7"/>
    <w:rsid w:val="007E3E8C"/>
    <w:rsid w:val="007E4FB3"/>
    <w:rsid w:val="007E61C1"/>
    <w:rsid w:val="007E6620"/>
    <w:rsid w:val="007E6E6A"/>
    <w:rsid w:val="007E760F"/>
    <w:rsid w:val="007F020D"/>
    <w:rsid w:val="007F035B"/>
    <w:rsid w:val="007F1295"/>
    <w:rsid w:val="007F1DAD"/>
    <w:rsid w:val="007F35E0"/>
    <w:rsid w:val="007F3CC9"/>
    <w:rsid w:val="007F5602"/>
    <w:rsid w:val="007F79EA"/>
    <w:rsid w:val="00800184"/>
    <w:rsid w:val="00801B0E"/>
    <w:rsid w:val="00801D1B"/>
    <w:rsid w:val="00802015"/>
    <w:rsid w:val="00802B19"/>
    <w:rsid w:val="00803132"/>
    <w:rsid w:val="0080443A"/>
    <w:rsid w:val="00805321"/>
    <w:rsid w:val="00805C2B"/>
    <w:rsid w:val="00806623"/>
    <w:rsid w:val="00807A48"/>
    <w:rsid w:val="0081030C"/>
    <w:rsid w:val="0081081B"/>
    <w:rsid w:val="00811E0F"/>
    <w:rsid w:val="008133FB"/>
    <w:rsid w:val="00814081"/>
    <w:rsid w:val="00814322"/>
    <w:rsid w:val="00814A40"/>
    <w:rsid w:val="00816BB6"/>
    <w:rsid w:val="0081733D"/>
    <w:rsid w:val="00817D92"/>
    <w:rsid w:val="00820117"/>
    <w:rsid w:val="008215D7"/>
    <w:rsid w:val="008238D2"/>
    <w:rsid w:val="00824BAC"/>
    <w:rsid w:val="008309F1"/>
    <w:rsid w:val="0083119D"/>
    <w:rsid w:val="008320B4"/>
    <w:rsid w:val="008335DB"/>
    <w:rsid w:val="008339DF"/>
    <w:rsid w:val="00833ECC"/>
    <w:rsid w:val="00834A26"/>
    <w:rsid w:val="00834AF5"/>
    <w:rsid w:val="0083506D"/>
    <w:rsid w:val="00835595"/>
    <w:rsid w:val="00835840"/>
    <w:rsid w:val="008358D0"/>
    <w:rsid w:val="00836BCE"/>
    <w:rsid w:val="00836F0E"/>
    <w:rsid w:val="008376B3"/>
    <w:rsid w:val="008412AA"/>
    <w:rsid w:val="008425DC"/>
    <w:rsid w:val="00842FF8"/>
    <w:rsid w:val="008435A5"/>
    <w:rsid w:val="008435D3"/>
    <w:rsid w:val="00843B67"/>
    <w:rsid w:val="00844166"/>
    <w:rsid w:val="008451F0"/>
    <w:rsid w:val="008454B0"/>
    <w:rsid w:val="00845997"/>
    <w:rsid w:val="008468A0"/>
    <w:rsid w:val="00847813"/>
    <w:rsid w:val="00847E8D"/>
    <w:rsid w:val="0085067E"/>
    <w:rsid w:val="00852BA9"/>
    <w:rsid w:val="008530BF"/>
    <w:rsid w:val="008556B7"/>
    <w:rsid w:val="00855C40"/>
    <w:rsid w:val="00857AE5"/>
    <w:rsid w:val="008618EF"/>
    <w:rsid w:val="00861B51"/>
    <w:rsid w:val="008624E1"/>
    <w:rsid w:val="008642D2"/>
    <w:rsid w:val="0086432E"/>
    <w:rsid w:val="0086553A"/>
    <w:rsid w:val="00865975"/>
    <w:rsid w:val="00865ABF"/>
    <w:rsid w:val="008665C2"/>
    <w:rsid w:val="008676A7"/>
    <w:rsid w:val="008677EA"/>
    <w:rsid w:val="00870781"/>
    <w:rsid w:val="00872FF4"/>
    <w:rsid w:val="00873541"/>
    <w:rsid w:val="00877939"/>
    <w:rsid w:val="00880525"/>
    <w:rsid w:val="008816F8"/>
    <w:rsid w:val="00882403"/>
    <w:rsid w:val="00882483"/>
    <w:rsid w:val="008824D4"/>
    <w:rsid w:val="0088333E"/>
    <w:rsid w:val="008836C2"/>
    <w:rsid w:val="00885A27"/>
    <w:rsid w:val="00885C85"/>
    <w:rsid w:val="0088705A"/>
    <w:rsid w:val="00890B2F"/>
    <w:rsid w:val="008913AC"/>
    <w:rsid w:val="00891883"/>
    <w:rsid w:val="00891A12"/>
    <w:rsid w:val="008925E8"/>
    <w:rsid w:val="00892966"/>
    <w:rsid w:val="00892C17"/>
    <w:rsid w:val="00893A32"/>
    <w:rsid w:val="00894615"/>
    <w:rsid w:val="00894D9E"/>
    <w:rsid w:val="00895229"/>
    <w:rsid w:val="00896846"/>
    <w:rsid w:val="00896AE8"/>
    <w:rsid w:val="008A1715"/>
    <w:rsid w:val="008A202D"/>
    <w:rsid w:val="008A230E"/>
    <w:rsid w:val="008A4DB8"/>
    <w:rsid w:val="008A572F"/>
    <w:rsid w:val="008A62C0"/>
    <w:rsid w:val="008A6D56"/>
    <w:rsid w:val="008A7148"/>
    <w:rsid w:val="008A730B"/>
    <w:rsid w:val="008A7599"/>
    <w:rsid w:val="008A7749"/>
    <w:rsid w:val="008B1619"/>
    <w:rsid w:val="008B1713"/>
    <w:rsid w:val="008B1BD6"/>
    <w:rsid w:val="008B2377"/>
    <w:rsid w:val="008B2DAA"/>
    <w:rsid w:val="008B3518"/>
    <w:rsid w:val="008B3895"/>
    <w:rsid w:val="008B586F"/>
    <w:rsid w:val="008B64B1"/>
    <w:rsid w:val="008C01AE"/>
    <w:rsid w:val="008C06CA"/>
    <w:rsid w:val="008C1226"/>
    <w:rsid w:val="008C16DC"/>
    <w:rsid w:val="008C189A"/>
    <w:rsid w:val="008C2037"/>
    <w:rsid w:val="008C35B2"/>
    <w:rsid w:val="008C4695"/>
    <w:rsid w:val="008C62AD"/>
    <w:rsid w:val="008C7EA7"/>
    <w:rsid w:val="008D012D"/>
    <w:rsid w:val="008D0874"/>
    <w:rsid w:val="008D122E"/>
    <w:rsid w:val="008D264D"/>
    <w:rsid w:val="008D2715"/>
    <w:rsid w:val="008D3F2A"/>
    <w:rsid w:val="008D4A80"/>
    <w:rsid w:val="008D7840"/>
    <w:rsid w:val="008E14DB"/>
    <w:rsid w:val="008E1D06"/>
    <w:rsid w:val="008E2D8B"/>
    <w:rsid w:val="008E3555"/>
    <w:rsid w:val="008E3961"/>
    <w:rsid w:val="008E421F"/>
    <w:rsid w:val="008E4742"/>
    <w:rsid w:val="008E4A93"/>
    <w:rsid w:val="008E50FC"/>
    <w:rsid w:val="008E5316"/>
    <w:rsid w:val="008E5CF8"/>
    <w:rsid w:val="008E6C7B"/>
    <w:rsid w:val="008E6E52"/>
    <w:rsid w:val="008E7EC9"/>
    <w:rsid w:val="008F0DDF"/>
    <w:rsid w:val="008F1145"/>
    <w:rsid w:val="008F1714"/>
    <w:rsid w:val="008F2C74"/>
    <w:rsid w:val="008F3899"/>
    <w:rsid w:val="008F56EA"/>
    <w:rsid w:val="008F5758"/>
    <w:rsid w:val="008F63FA"/>
    <w:rsid w:val="008F6F6E"/>
    <w:rsid w:val="008F78C3"/>
    <w:rsid w:val="008F7BAD"/>
    <w:rsid w:val="00901CE6"/>
    <w:rsid w:val="00904008"/>
    <w:rsid w:val="009050F5"/>
    <w:rsid w:val="00905461"/>
    <w:rsid w:val="009067AF"/>
    <w:rsid w:val="00906842"/>
    <w:rsid w:val="0090729F"/>
    <w:rsid w:val="00910634"/>
    <w:rsid w:val="00910CE3"/>
    <w:rsid w:val="00911AE8"/>
    <w:rsid w:val="00912FCF"/>
    <w:rsid w:val="009132D0"/>
    <w:rsid w:val="00913384"/>
    <w:rsid w:val="00916240"/>
    <w:rsid w:val="009173BE"/>
    <w:rsid w:val="009206F9"/>
    <w:rsid w:val="00920B71"/>
    <w:rsid w:val="009225CA"/>
    <w:rsid w:val="009303F1"/>
    <w:rsid w:val="009304E2"/>
    <w:rsid w:val="00930D18"/>
    <w:rsid w:val="0093185F"/>
    <w:rsid w:val="00933367"/>
    <w:rsid w:val="0093368D"/>
    <w:rsid w:val="00933750"/>
    <w:rsid w:val="00933949"/>
    <w:rsid w:val="009353B4"/>
    <w:rsid w:val="00935A31"/>
    <w:rsid w:val="00935C37"/>
    <w:rsid w:val="00935D44"/>
    <w:rsid w:val="00936072"/>
    <w:rsid w:val="00936294"/>
    <w:rsid w:val="00940439"/>
    <w:rsid w:val="00946D39"/>
    <w:rsid w:val="009474C0"/>
    <w:rsid w:val="00950B7B"/>
    <w:rsid w:val="00950C26"/>
    <w:rsid w:val="00950C7A"/>
    <w:rsid w:val="00952B47"/>
    <w:rsid w:val="00952FBB"/>
    <w:rsid w:val="00955338"/>
    <w:rsid w:val="00955A99"/>
    <w:rsid w:val="00955C2F"/>
    <w:rsid w:val="009613F5"/>
    <w:rsid w:val="009625FE"/>
    <w:rsid w:val="009626DC"/>
    <w:rsid w:val="00965174"/>
    <w:rsid w:val="00966A50"/>
    <w:rsid w:val="00970DC4"/>
    <w:rsid w:val="00970F74"/>
    <w:rsid w:val="0097102B"/>
    <w:rsid w:val="00971723"/>
    <w:rsid w:val="009720E6"/>
    <w:rsid w:val="00973E7F"/>
    <w:rsid w:val="00973FD5"/>
    <w:rsid w:val="00976912"/>
    <w:rsid w:val="009772D2"/>
    <w:rsid w:val="009773C3"/>
    <w:rsid w:val="0098085B"/>
    <w:rsid w:val="00982131"/>
    <w:rsid w:val="00982CAE"/>
    <w:rsid w:val="00982CCE"/>
    <w:rsid w:val="00982D3B"/>
    <w:rsid w:val="009835A7"/>
    <w:rsid w:val="00983CD2"/>
    <w:rsid w:val="00983DCD"/>
    <w:rsid w:val="009843E2"/>
    <w:rsid w:val="0098550B"/>
    <w:rsid w:val="009859ED"/>
    <w:rsid w:val="00986227"/>
    <w:rsid w:val="009878D4"/>
    <w:rsid w:val="00987B4C"/>
    <w:rsid w:val="00990970"/>
    <w:rsid w:val="00990B1D"/>
    <w:rsid w:val="00990EE0"/>
    <w:rsid w:val="0099121E"/>
    <w:rsid w:val="00992D08"/>
    <w:rsid w:val="009939A3"/>
    <w:rsid w:val="00993D0C"/>
    <w:rsid w:val="00994AB2"/>
    <w:rsid w:val="0099554B"/>
    <w:rsid w:val="00995915"/>
    <w:rsid w:val="009969A6"/>
    <w:rsid w:val="00997333"/>
    <w:rsid w:val="0099734B"/>
    <w:rsid w:val="00997C03"/>
    <w:rsid w:val="009A0B74"/>
    <w:rsid w:val="009A1719"/>
    <w:rsid w:val="009A1F36"/>
    <w:rsid w:val="009A2B28"/>
    <w:rsid w:val="009A339E"/>
    <w:rsid w:val="009A41BB"/>
    <w:rsid w:val="009A44C0"/>
    <w:rsid w:val="009A4E5A"/>
    <w:rsid w:val="009A5DF5"/>
    <w:rsid w:val="009A7936"/>
    <w:rsid w:val="009B2A32"/>
    <w:rsid w:val="009B2C6C"/>
    <w:rsid w:val="009B375B"/>
    <w:rsid w:val="009B41E7"/>
    <w:rsid w:val="009B58C3"/>
    <w:rsid w:val="009B5E75"/>
    <w:rsid w:val="009B5ECC"/>
    <w:rsid w:val="009B60D2"/>
    <w:rsid w:val="009B6B0A"/>
    <w:rsid w:val="009B7B37"/>
    <w:rsid w:val="009C01D2"/>
    <w:rsid w:val="009C16BB"/>
    <w:rsid w:val="009C187B"/>
    <w:rsid w:val="009C3B50"/>
    <w:rsid w:val="009C3F01"/>
    <w:rsid w:val="009C4377"/>
    <w:rsid w:val="009C5874"/>
    <w:rsid w:val="009C6092"/>
    <w:rsid w:val="009C6536"/>
    <w:rsid w:val="009C7946"/>
    <w:rsid w:val="009C7E84"/>
    <w:rsid w:val="009D1672"/>
    <w:rsid w:val="009D197A"/>
    <w:rsid w:val="009D2204"/>
    <w:rsid w:val="009D2615"/>
    <w:rsid w:val="009D4CCD"/>
    <w:rsid w:val="009D591B"/>
    <w:rsid w:val="009D5D2A"/>
    <w:rsid w:val="009E00A2"/>
    <w:rsid w:val="009E125A"/>
    <w:rsid w:val="009E12C6"/>
    <w:rsid w:val="009E1324"/>
    <w:rsid w:val="009E143E"/>
    <w:rsid w:val="009E1623"/>
    <w:rsid w:val="009E1C18"/>
    <w:rsid w:val="009E1DC5"/>
    <w:rsid w:val="009E26A0"/>
    <w:rsid w:val="009E2F23"/>
    <w:rsid w:val="009E30C8"/>
    <w:rsid w:val="009E3DC2"/>
    <w:rsid w:val="009E440A"/>
    <w:rsid w:val="009E65CF"/>
    <w:rsid w:val="009E73D8"/>
    <w:rsid w:val="009F0296"/>
    <w:rsid w:val="009F0DDF"/>
    <w:rsid w:val="009F0FE1"/>
    <w:rsid w:val="009F12A2"/>
    <w:rsid w:val="009F1DBD"/>
    <w:rsid w:val="009F3D72"/>
    <w:rsid w:val="009F5529"/>
    <w:rsid w:val="009F67A3"/>
    <w:rsid w:val="009F736C"/>
    <w:rsid w:val="009F7D7E"/>
    <w:rsid w:val="00A02499"/>
    <w:rsid w:val="00A02C5C"/>
    <w:rsid w:val="00A03497"/>
    <w:rsid w:val="00A03FE9"/>
    <w:rsid w:val="00A0414A"/>
    <w:rsid w:val="00A04BF0"/>
    <w:rsid w:val="00A04EAE"/>
    <w:rsid w:val="00A0547A"/>
    <w:rsid w:val="00A05CBC"/>
    <w:rsid w:val="00A06015"/>
    <w:rsid w:val="00A065D8"/>
    <w:rsid w:val="00A06AB7"/>
    <w:rsid w:val="00A07D04"/>
    <w:rsid w:val="00A10710"/>
    <w:rsid w:val="00A11E06"/>
    <w:rsid w:val="00A14E05"/>
    <w:rsid w:val="00A15080"/>
    <w:rsid w:val="00A160F0"/>
    <w:rsid w:val="00A16AC5"/>
    <w:rsid w:val="00A212A9"/>
    <w:rsid w:val="00A21712"/>
    <w:rsid w:val="00A219E4"/>
    <w:rsid w:val="00A223F6"/>
    <w:rsid w:val="00A22689"/>
    <w:rsid w:val="00A22B60"/>
    <w:rsid w:val="00A24762"/>
    <w:rsid w:val="00A2532B"/>
    <w:rsid w:val="00A25379"/>
    <w:rsid w:val="00A25FF9"/>
    <w:rsid w:val="00A268FD"/>
    <w:rsid w:val="00A27B9B"/>
    <w:rsid w:val="00A316EE"/>
    <w:rsid w:val="00A32C9C"/>
    <w:rsid w:val="00A3332A"/>
    <w:rsid w:val="00A34273"/>
    <w:rsid w:val="00A345B2"/>
    <w:rsid w:val="00A35230"/>
    <w:rsid w:val="00A35A03"/>
    <w:rsid w:val="00A35F89"/>
    <w:rsid w:val="00A37163"/>
    <w:rsid w:val="00A41748"/>
    <w:rsid w:val="00A421D5"/>
    <w:rsid w:val="00A42690"/>
    <w:rsid w:val="00A43A03"/>
    <w:rsid w:val="00A43E7A"/>
    <w:rsid w:val="00A447B7"/>
    <w:rsid w:val="00A462FE"/>
    <w:rsid w:val="00A4688A"/>
    <w:rsid w:val="00A47E17"/>
    <w:rsid w:val="00A50A85"/>
    <w:rsid w:val="00A5203B"/>
    <w:rsid w:val="00A521C3"/>
    <w:rsid w:val="00A52292"/>
    <w:rsid w:val="00A53B55"/>
    <w:rsid w:val="00A54ED7"/>
    <w:rsid w:val="00A57406"/>
    <w:rsid w:val="00A5772A"/>
    <w:rsid w:val="00A57879"/>
    <w:rsid w:val="00A6152D"/>
    <w:rsid w:val="00A61711"/>
    <w:rsid w:val="00A63492"/>
    <w:rsid w:val="00A64199"/>
    <w:rsid w:val="00A645BC"/>
    <w:rsid w:val="00A658AA"/>
    <w:rsid w:val="00A66764"/>
    <w:rsid w:val="00A66E80"/>
    <w:rsid w:val="00A72F6A"/>
    <w:rsid w:val="00A73A97"/>
    <w:rsid w:val="00A73E2D"/>
    <w:rsid w:val="00A76D55"/>
    <w:rsid w:val="00A76DD6"/>
    <w:rsid w:val="00A77E81"/>
    <w:rsid w:val="00A80671"/>
    <w:rsid w:val="00A807E3"/>
    <w:rsid w:val="00A80C0C"/>
    <w:rsid w:val="00A82703"/>
    <w:rsid w:val="00A8274B"/>
    <w:rsid w:val="00A83202"/>
    <w:rsid w:val="00A85A45"/>
    <w:rsid w:val="00A85AC2"/>
    <w:rsid w:val="00A86134"/>
    <w:rsid w:val="00A90AAB"/>
    <w:rsid w:val="00A919A7"/>
    <w:rsid w:val="00A91B65"/>
    <w:rsid w:val="00A93371"/>
    <w:rsid w:val="00A94F8B"/>
    <w:rsid w:val="00A961CA"/>
    <w:rsid w:val="00A968F4"/>
    <w:rsid w:val="00A97787"/>
    <w:rsid w:val="00A97D09"/>
    <w:rsid w:val="00AA0454"/>
    <w:rsid w:val="00AA0905"/>
    <w:rsid w:val="00AA09B2"/>
    <w:rsid w:val="00AA0F3D"/>
    <w:rsid w:val="00AA15ED"/>
    <w:rsid w:val="00AA2436"/>
    <w:rsid w:val="00AA4118"/>
    <w:rsid w:val="00AA4591"/>
    <w:rsid w:val="00AA4E50"/>
    <w:rsid w:val="00AA4EB8"/>
    <w:rsid w:val="00AA5E3B"/>
    <w:rsid w:val="00AA6458"/>
    <w:rsid w:val="00AA655E"/>
    <w:rsid w:val="00AA7232"/>
    <w:rsid w:val="00AB03AB"/>
    <w:rsid w:val="00AB060E"/>
    <w:rsid w:val="00AB0BEA"/>
    <w:rsid w:val="00AB0ECC"/>
    <w:rsid w:val="00AB1F00"/>
    <w:rsid w:val="00AB1FEB"/>
    <w:rsid w:val="00AB248F"/>
    <w:rsid w:val="00AB2FE0"/>
    <w:rsid w:val="00AB3141"/>
    <w:rsid w:val="00AB49E8"/>
    <w:rsid w:val="00AB5408"/>
    <w:rsid w:val="00AB5829"/>
    <w:rsid w:val="00AB5B85"/>
    <w:rsid w:val="00AB61BC"/>
    <w:rsid w:val="00AC13FA"/>
    <w:rsid w:val="00AC1C94"/>
    <w:rsid w:val="00AC6B42"/>
    <w:rsid w:val="00AC750C"/>
    <w:rsid w:val="00AD1BA0"/>
    <w:rsid w:val="00AD1CEF"/>
    <w:rsid w:val="00AD490A"/>
    <w:rsid w:val="00AD69B3"/>
    <w:rsid w:val="00AD7239"/>
    <w:rsid w:val="00AD7FCE"/>
    <w:rsid w:val="00AE05B5"/>
    <w:rsid w:val="00AE07DA"/>
    <w:rsid w:val="00AE10EF"/>
    <w:rsid w:val="00AE357C"/>
    <w:rsid w:val="00AE430D"/>
    <w:rsid w:val="00AE48C7"/>
    <w:rsid w:val="00AE4BD5"/>
    <w:rsid w:val="00AE4E55"/>
    <w:rsid w:val="00AE672E"/>
    <w:rsid w:val="00AE7B48"/>
    <w:rsid w:val="00AE7C70"/>
    <w:rsid w:val="00AF1AA3"/>
    <w:rsid w:val="00AF1BB5"/>
    <w:rsid w:val="00AF25B2"/>
    <w:rsid w:val="00AF2709"/>
    <w:rsid w:val="00AF2743"/>
    <w:rsid w:val="00AF32EE"/>
    <w:rsid w:val="00AF41A8"/>
    <w:rsid w:val="00AF588D"/>
    <w:rsid w:val="00AF6BA8"/>
    <w:rsid w:val="00B00095"/>
    <w:rsid w:val="00B002BF"/>
    <w:rsid w:val="00B007AA"/>
    <w:rsid w:val="00B01156"/>
    <w:rsid w:val="00B012D9"/>
    <w:rsid w:val="00B013B8"/>
    <w:rsid w:val="00B02323"/>
    <w:rsid w:val="00B02F4E"/>
    <w:rsid w:val="00B04255"/>
    <w:rsid w:val="00B05819"/>
    <w:rsid w:val="00B0695C"/>
    <w:rsid w:val="00B06BDF"/>
    <w:rsid w:val="00B074F0"/>
    <w:rsid w:val="00B106B3"/>
    <w:rsid w:val="00B109A1"/>
    <w:rsid w:val="00B114E3"/>
    <w:rsid w:val="00B11DB0"/>
    <w:rsid w:val="00B14289"/>
    <w:rsid w:val="00B14808"/>
    <w:rsid w:val="00B14A37"/>
    <w:rsid w:val="00B15F02"/>
    <w:rsid w:val="00B16321"/>
    <w:rsid w:val="00B16964"/>
    <w:rsid w:val="00B16A9E"/>
    <w:rsid w:val="00B16F1C"/>
    <w:rsid w:val="00B1791E"/>
    <w:rsid w:val="00B17CED"/>
    <w:rsid w:val="00B17E6A"/>
    <w:rsid w:val="00B20BAE"/>
    <w:rsid w:val="00B218E8"/>
    <w:rsid w:val="00B2290C"/>
    <w:rsid w:val="00B22E3A"/>
    <w:rsid w:val="00B23701"/>
    <w:rsid w:val="00B24220"/>
    <w:rsid w:val="00B24DC7"/>
    <w:rsid w:val="00B25D9D"/>
    <w:rsid w:val="00B26E8C"/>
    <w:rsid w:val="00B3266B"/>
    <w:rsid w:val="00B33A0C"/>
    <w:rsid w:val="00B33EE0"/>
    <w:rsid w:val="00B3774A"/>
    <w:rsid w:val="00B37D8F"/>
    <w:rsid w:val="00B414C5"/>
    <w:rsid w:val="00B41D9A"/>
    <w:rsid w:val="00B423FA"/>
    <w:rsid w:val="00B44D97"/>
    <w:rsid w:val="00B460D7"/>
    <w:rsid w:val="00B4630D"/>
    <w:rsid w:val="00B46319"/>
    <w:rsid w:val="00B501C2"/>
    <w:rsid w:val="00B50458"/>
    <w:rsid w:val="00B50594"/>
    <w:rsid w:val="00B506BD"/>
    <w:rsid w:val="00B515B5"/>
    <w:rsid w:val="00B52075"/>
    <w:rsid w:val="00B53D12"/>
    <w:rsid w:val="00B54029"/>
    <w:rsid w:val="00B5498B"/>
    <w:rsid w:val="00B54C20"/>
    <w:rsid w:val="00B54FEA"/>
    <w:rsid w:val="00B55F59"/>
    <w:rsid w:val="00B5717C"/>
    <w:rsid w:val="00B57EC0"/>
    <w:rsid w:val="00B61226"/>
    <w:rsid w:val="00B62058"/>
    <w:rsid w:val="00B64054"/>
    <w:rsid w:val="00B640EC"/>
    <w:rsid w:val="00B640FE"/>
    <w:rsid w:val="00B6584D"/>
    <w:rsid w:val="00B65B0C"/>
    <w:rsid w:val="00B7226F"/>
    <w:rsid w:val="00B72F12"/>
    <w:rsid w:val="00B74972"/>
    <w:rsid w:val="00B751CC"/>
    <w:rsid w:val="00B7678C"/>
    <w:rsid w:val="00B76CD9"/>
    <w:rsid w:val="00B771B7"/>
    <w:rsid w:val="00B77792"/>
    <w:rsid w:val="00B778A0"/>
    <w:rsid w:val="00B77B0B"/>
    <w:rsid w:val="00B8102E"/>
    <w:rsid w:val="00B83158"/>
    <w:rsid w:val="00B83C0D"/>
    <w:rsid w:val="00B8467E"/>
    <w:rsid w:val="00B85929"/>
    <w:rsid w:val="00B860D2"/>
    <w:rsid w:val="00B86240"/>
    <w:rsid w:val="00B87D5B"/>
    <w:rsid w:val="00B90D9F"/>
    <w:rsid w:val="00B92BDC"/>
    <w:rsid w:val="00B936BD"/>
    <w:rsid w:val="00B93E6C"/>
    <w:rsid w:val="00B9485E"/>
    <w:rsid w:val="00B96697"/>
    <w:rsid w:val="00BA0456"/>
    <w:rsid w:val="00BA0A3B"/>
    <w:rsid w:val="00BA128F"/>
    <w:rsid w:val="00BA157C"/>
    <w:rsid w:val="00BA1ED3"/>
    <w:rsid w:val="00BA21F3"/>
    <w:rsid w:val="00BA272C"/>
    <w:rsid w:val="00BA3076"/>
    <w:rsid w:val="00BA321A"/>
    <w:rsid w:val="00BA3840"/>
    <w:rsid w:val="00BA5C84"/>
    <w:rsid w:val="00BA690F"/>
    <w:rsid w:val="00BA6C69"/>
    <w:rsid w:val="00BA7841"/>
    <w:rsid w:val="00BA7C90"/>
    <w:rsid w:val="00BB0A78"/>
    <w:rsid w:val="00BB27BB"/>
    <w:rsid w:val="00BB295C"/>
    <w:rsid w:val="00BB3066"/>
    <w:rsid w:val="00BB351C"/>
    <w:rsid w:val="00BB3AD3"/>
    <w:rsid w:val="00BB48A8"/>
    <w:rsid w:val="00BB50DD"/>
    <w:rsid w:val="00BB738A"/>
    <w:rsid w:val="00BB7901"/>
    <w:rsid w:val="00BC0115"/>
    <w:rsid w:val="00BC0CB3"/>
    <w:rsid w:val="00BC0F15"/>
    <w:rsid w:val="00BC26D6"/>
    <w:rsid w:val="00BC2913"/>
    <w:rsid w:val="00BC2A48"/>
    <w:rsid w:val="00BC3BBC"/>
    <w:rsid w:val="00BC41A7"/>
    <w:rsid w:val="00BC5D09"/>
    <w:rsid w:val="00BC64AF"/>
    <w:rsid w:val="00BC658E"/>
    <w:rsid w:val="00BC66F4"/>
    <w:rsid w:val="00BC6FF5"/>
    <w:rsid w:val="00BD02D3"/>
    <w:rsid w:val="00BD08C3"/>
    <w:rsid w:val="00BD17CC"/>
    <w:rsid w:val="00BD389B"/>
    <w:rsid w:val="00BD3987"/>
    <w:rsid w:val="00BD42C5"/>
    <w:rsid w:val="00BD4E3B"/>
    <w:rsid w:val="00BD509C"/>
    <w:rsid w:val="00BD5422"/>
    <w:rsid w:val="00BD61D8"/>
    <w:rsid w:val="00BE0F6D"/>
    <w:rsid w:val="00BE129B"/>
    <w:rsid w:val="00BE14BD"/>
    <w:rsid w:val="00BE2BE3"/>
    <w:rsid w:val="00BE3237"/>
    <w:rsid w:val="00BE5A26"/>
    <w:rsid w:val="00BE5C68"/>
    <w:rsid w:val="00BE737E"/>
    <w:rsid w:val="00BF116A"/>
    <w:rsid w:val="00BF249A"/>
    <w:rsid w:val="00BF293F"/>
    <w:rsid w:val="00BF29E2"/>
    <w:rsid w:val="00BF39BF"/>
    <w:rsid w:val="00BF43E1"/>
    <w:rsid w:val="00BF4F35"/>
    <w:rsid w:val="00C01491"/>
    <w:rsid w:val="00C01638"/>
    <w:rsid w:val="00C01BCB"/>
    <w:rsid w:val="00C03019"/>
    <w:rsid w:val="00C03B9C"/>
    <w:rsid w:val="00C042BE"/>
    <w:rsid w:val="00C04831"/>
    <w:rsid w:val="00C04EE5"/>
    <w:rsid w:val="00C04FD0"/>
    <w:rsid w:val="00C05336"/>
    <w:rsid w:val="00C07C2F"/>
    <w:rsid w:val="00C10704"/>
    <w:rsid w:val="00C1161A"/>
    <w:rsid w:val="00C119CB"/>
    <w:rsid w:val="00C11BA3"/>
    <w:rsid w:val="00C12134"/>
    <w:rsid w:val="00C13779"/>
    <w:rsid w:val="00C15330"/>
    <w:rsid w:val="00C16C44"/>
    <w:rsid w:val="00C21E9C"/>
    <w:rsid w:val="00C22A0D"/>
    <w:rsid w:val="00C2385E"/>
    <w:rsid w:val="00C240C6"/>
    <w:rsid w:val="00C25132"/>
    <w:rsid w:val="00C25253"/>
    <w:rsid w:val="00C258B2"/>
    <w:rsid w:val="00C25CE4"/>
    <w:rsid w:val="00C260DB"/>
    <w:rsid w:val="00C2621B"/>
    <w:rsid w:val="00C270A1"/>
    <w:rsid w:val="00C27B1C"/>
    <w:rsid w:val="00C30D4C"/>
    <w:rsid w:val="00C30E8F"/>
    <w:rsid w:val="00C3324F"/>
    <w:rsid w:val="00C33FB5"/>
    <w:rsid w:val="00C35AC3"/>
    <w:rsid w:val="00C35B0D"/>
    <w:rsid w:val="00C40723"/>
    <w:rsid w:val="00C40C61"/>
    <w:rsid w:val="00C41A34"/>
    <w:rsid w:val="00C43254"/>
    <w:rsid w:val="00C45B53"/>
    <w:rsid w:val="00C45F9A"/>
    <w:rsid w:val="00C50E18"/>
    <w:rsid w:val="00C50E37"/>
    <w:rsid w:val="00C50F1F"/>
    <w:rsid w:val="00C51DB7"/>
    <w:rsid w:val="00C51F24"/>
    <w:rsid w:val="00C53198"/>
    <w:rsid w:val="00C54205"/>
    <w:rsid w:val="00C542F5"/>
    <w:rsid w:val="00C55A4C"/>
    <w:rsid w:val="00C56099"/>
    <w:rsid w:val="00C56559"/>
    <w:rsid w:val="00C57999"/>
    <w:rsid w:val="00C57EC1"/>
    <w:rsid w:val="00C60992"/>
    <w:rsid w:val="00C60C5D"/>
    <w:rsid w:val="00C616FB"/>
    <w:rsid w:val="00C6253D"/>
    <w:rsid w:val="00C64FE6"/>
    <w:rsid w:val="00C66029"/>
    <w:rsid w:val="00C66DEB"/>
    <w:rsid w:val="00C7017C"/>
    <w:rsid w:val="00C7127A"/>
    <w:rsid w:val="00C7222E"/>
    <w:rsid w:val="00C742F9"/>
    <w:rsid w:val="00C7431C"/>
    <w:rsid w:val="00C772A8"/>
    <w:rsid w:val="00C7755F"/>
    <w:rsid w:val="00C824B9"/>
    <w:rsid w:val="00C82D06"/>
    <w:rsid w:val="00C82DB8"/>
    <w:rsid w:val="00C8301F"/>
    <w:rsid w:val="00C83DD2"/>
    <w:rsid w:val="00C86E43"/>
    <w:rsid w:val="00C87089"/>
    <w:rsid w:val="00C873E2"/>
    <w:rsid w:val="00C87A03"/>
    <w:rsid w:val="00C90F1A"/>
    <w:rsid w:val="00C931BD"/>
    <w:rsid w:val="00C9378A"/>
    <w:rsid w:val="00C938A9"/>
    <w:rsid w:val="00C94550"/>
    <w:rsid w:val="00C95699"/>
    <w:rsid w:val="00C95762"/>
    <w:rsid w:val="00C958EF"/>
    <w:rsid w:val="00C96BDD"/>
    <w:rsid w:val="00C9775F"/>
    <w:rsid w:val="00C97AB4"/>
    <w:rsid w:val="00CA48D2"/>
    <w:rsid w:val="00CA4B57"/>
    <w:rsid w:val="00CA5D79"/>
    <w:rsid w:val="00CA5F81"/>
    <w:rsid w:val="00CA63AA"/>
    <w:rsid w:val="00CB040C"/>
    <w:rsid w:val="00CB075C"/>
    <w:rsid w:val="00CB081D"/>
    <w:rsid w:val="00CB22CC"/>
    <w:rsid w:val="00CB289A"/>
    <w:rsid w:val="00CB2E05"/>
    <w:rsid w:val="00CB3FF4"/>
    <w:rsid w:val="00CB41E0"/>
    <w:rsid w:val="00CB468E"/>
    <w:rsid w:val="00CB5122"/>
    <w:rsid w:val="00CB5969"/>
    <w:rsid w:val="00CB6953"/>
    <w:rsid w:val="00CB6B7B"/>
    <w:rsid w:val="00CC1321"/>
    <w:rsid w:val="00CC1774"/>
    <w:rsid w:val="00CC2266"/>
    <w:rsid w:val="00CC3037"/>
    <w:rsid w:val="00CC3BEC"/>
    <w:rsid w:val="00CC43B9"/>
    <w:rsid w:val="00CC50FC"/>
    <w:rsid w:val="00CC62D9"/>
    <w:rsid w:val="00CC6A3C"/>
    <w:rsid w:val="00CC6A56"/>
    <w:rsid w:val="00CC7472"/>
    <w:rsid w:val="00CD0803"/>
    <w:rsid w:val="00CD0B3D"/>
    <w:rsid w:val="00CD43DB"/>
    <w:rsid w:val="00CD4B7B"/>
    <w:rsid w:val="00CD4F65"/>
    <w:rsid w:val="00CD519F"/>
    <w:rsid w:val="00CD5DC8"/>
    <w:rsid w:val="00CD603F"/>
    <w:rsid w:val="00CD7CC8"/>
    <w:rsid w:val="00CD7EDC"/>
    <w:rsid w:val="00CE0665"/>
    <w:rsid w:val="00CE1E08"/>
    <w:rsid w:val="00CE1EFB"/>
    <w:rsid w:val="00CE2082"/>
    <w:rsid w:val="00CE226F"/>
    <w:rsid w:val="00CE35F6"/>
    <w:rsid w:val="00CE4B94"/>
    <w:rsid w:val="00CE578D"/>
    <w:rsid w:val="00CE6FF1"/>
    <w:rsid w:val="00CE74F3"/>
    <w:rsid w:val="00CE7609"/>
    <w:rsid w:val="00CE79D4"/>
    <w:rsid w:val="00CE7A0C"/>
    <w:rsid w:val="00CF44A5"/>
    <w:rsid w:val="00CF5F6B"/>
    <w:rsid w:val="00CF6909"/>
    <w:rsid w:val="00CF7F38"/>
    <w:rsid w:val="00D00FB0"/>
    <w:rsid w:val="00D02CBF"/>
    <w:rsid w:val="00D03043"/>
    <w:rsid w:val="00D056C4"/>
    <w:rsid w:val="00D059BF"/>
    <w:rsid w:val="00D07731"/>
    <w:rsid w:val="00D107A1"/>
    <w:rsid w:val="00D11CF0"/>
    <w:rsid w:val="00D13C7C"/>
    <w:rsid w:val="00D146F9"/>
    <w:rsid w:val="00D149B7"/>
    <w:rsid w:val="00D172E8"/>
    <w:rsid w:val="00D202EF"/>
    <w:rsid w:val="00D20587"/>
    <w:rsid w:val="00D21D49"/>
    <w:rsid w:val="00D22013"/>
    <w:rsid w:val="00D222BA"/>
    <w:rsid w:val="00D222EE"/>
    <w:rsid w:val="00D2247B"/>
    <w:rsid w:val="00D2461D"/>
    <w:rsid w:val="00D25335"/>
    <w:rsid w:val="00D25C21"/>
    <w:rsid w:val="00D270FA"/>
    <w:rsid w:val="00D27346"/>
    <w:rsid w:val="00D27657"/>
    <w:rsid w:val="00D30D6F"/>
    <w:rsid w:val="00D31335"/>
    <w:rsid w:val="00D32912"/>
    <w:rsid w:val="00D329D3"/>
    <w:rsid w:val="00D34276"/>
    <w:rsid w:val="00D344FD"/>
    <w:rsid w:val="00D351EA"/>
    <w:rsid w:val="00D37082"/>
    <w:rsid w:val="00D372F8"/>
    <w:rsid w:val="00D373F4"/>
    <w:rsid w:val="00D37533"/>
    <w:rsid w:val="00D37B69"/>
    <w:rsid w:val="00D4075D"/>
    <w:rsid w:val="00D414BB"/>
    <w:rsid w:val="00D41FF5"/>
    <w:rsid w:val="00D438A4"/>
    <w:rsid w:val="00D44178"/>
    <w:rsid w:val="00D476C8"/>
    <w:rsid w:val="00D51BFF"/>
    <w:rsid w:val="00D544EC"/>
    <w:rsid w:val="00D55014"/>
    <w:rsid w:val="00D56282"/>
    <w:rsid w:val="00D56552"/>
    <w:rsid w:val="00D6038F"/>
    <w:rsid w:val="00D610E0"/>
    <w:rsid w:val="00D61374"/>
    <w:rsid w:val="00D62C58"/>
    <w:rsid w:val="00D62E4A"/>
    <w:rsid w:val="00D631BC"/>
    <w:rsid w:val="00D63202"/>
    <w:rsid w:val="00D63FFB"/>
    <w:rsid w:val="00D6546F"/>
    <w:rsid w:val="00D66C64"/>
    <w:rsid w:val="00D671EC"/>
    <w:rsid w:val="00D67371"/>
    <w:rsid w:val="00D67D10"/>
    <w:rsid w:val="00D7037A"/>
    <w:rsid w:val="00D71635"/>
    <w:rsid w:val="00D7276A"/>
    <w:rsid w:val="00D731FC"/>
    <w:rsid w:val="00D73FC8"/>
    <w:rsid w:val="00D750BD"/>
    <w:rsid w:val="00D80187"/>
    <w:rsid w:val="00D8032D"/>
    <w:rsid w:val="00D803C6"/>
    <w:rsid w:val="00D81882"/>
    <w:rsid w:val="00D81DC1"/>
    <w:rsid w:val="00D83D29"/>
    <w:rsid w:val="00D863DC"/>
    <w:rsid w:val="00D879BD"/>
    <w:rsid w:val="00D87D6F"/>
    <w:rsid w:val="00D87EA5"/>
    <w:rsid w:val="00D91823"/>
    <w:rsid w:val="00D92B5B"/>
    <w:rsid w:val="00D93DA2"/>
    <w:rsid w:val="00D9472B"/>
    <w:rsid w:val="00D94905"/>
    <w:rsid w:val="00D9693C"/>
    <w:rsid w:val="00D977D6"/>
    <w:rsid w:val="00DA0AA1"/>
    <w:rsid w:val="00DA235D"/>
    <w:rsid w:val="00DA2B32"/>
    <w:rsid w:val="00DA2CA0"/>
    <w:rsid w:val="00DA2F01"/>
    <w:rsid w:val="00DA3910"/>
    <w:rsid w:val="00DA53A9"/>
    <w:rsid w:val="00DA55E8"/>
    <w:rsid w:val="00DA578B"/>
    <w:rsid w:val="00DA7542"/>
    <w:rsid w:val="00DA79B0"/>
    <w:rsid w:val="00DA7A2F"/>
    <w:rsid w:val="00DB0AEA"/>
    <w:rsid w:val="00DB25B8"/>
    <w:rsid w:val="00DB2C4D"/>
    <w:rsid w:val="00DB3526"/>
    <w:rsid w:val="00DB3F26"/>
    <w:rsid w:val="00DB5E6D"/>
    <w:rsid w:val="00DB7D2F"/>
    <w:rsid w:val="00DC013C"/>
    <w:rsid w:val="00DC0A1A"/>
    <w:rsid w:val="00DC1C9B"/>
    <w:rsid w:val="00DC254B"/>
    <w:rsid w:val="00DC28D1"/>
    <w:rsid w:val="00DC34E8"/>
    <w:rsid w:val="00DC54A5"/>
    <w:rsid w:val="00DC7D28"/>
    <w:rsid w:val="00DD04CB"/>
    <w:rsid w:val="00DD19EE"/>
    <w:rsid w:val="00DD2E1C"/>
    <w:rsid w:val="00DD2E38"/>
    <w:rsid w:val="00DD3936"/>
    <w:rsid w:val="00DD3958"/>
    <w:rsid w:val="00DD4226"/>
    <w:rsid w:val="00DD5AC6"/>
    <w:rsid w:val="00DD6BF7"/>
    <w:rsid w:val="00DD6C4F"/>
    <w:rsid w:val="00DE01EA"/>
    <w:rsid w:val="00DE167D"/>
    <w:rsid w:val="00DE1AE1"/>
    <w:rsid w:val="00DF07F9"/>
    <w:rsid w:val="00DF0AED"/>
    <w:rsid w:val="00DF12FA"/>
    <w:rsid w:val="00DF14C7"/>
    <w:rsid w:val="00DF1C60"/>
    <w:rsid w:val="00DF269D"/>
    <w:rsid w:val="00DF5639"/>
    <w:rsid w:val="00DF5D3D"/>
    <w:rsid w:val="00DF68AF"/>
    <w:rsid w:val="00DF74BF"/>
    <w:rsid w:val="00DF751E"/>
    <w:rsid w:val="00E00427"/>
    <w:rsid w:val="00E01534"/>
    <w:rsid w:val="00E02458"/>
    <w:rsid w:val="00E029F7"/>
    <w:rsid w:val="00E03233"/>
    <w:rsid w:val="00E044DA"/>
    <w:rsid w:val="00E05391"/>
    <w:rsid w:val="00E0601A"/>
    <w:rsid w:val="00E064C3"/>
    <w:rsid w:val="00E070DE"/>
    <w:rsid w:val="00E077DB"/>
    <w:rsid w:val="00E07B8A"/>
    <w:rsid w:val="00E1001B"/>
    <w:rsid w:val="00E10184"/>
    <w:rsid w:val="00E105B3"/>
    <w:rsid w:val="00E12669"/>
    <w:rsid w:val="00E136E5"/>
    <w:rsid w:val="00E140A9"/>
    <w:rsid w:val="00E1473E"/>
    <w:rsid w:val="00E15EC4"/>
    <w:rsid w:val="00E1685F"/>
    <w:rsid w:val="00E16B8D"/>
    <w:rsid w:val="00E17645"/>
    <w:rsid w:val="00E178BD"/>
    <w:rsid w:val="00E20D87"/>
    <w:rsid w:val="00E20FEB"/>
    <w:rsid w:val="00E21EC9"/>
    <w:rsid w:val="00E2481B"/>
    <w:rsid w:val="00E24AD7"/>
    <w:rsid w:val="00E24EB2"/>
    <w:rsid w:val="00E24EBA"/>
    <w:rsid w:val="00E2544A"/>
    <w:rsid w:val="00E25FC4"/>
    <w:rsid w:val="00E2632E"/>
    <w:rsid w:val="00E278AD"/>
    <w:rsid w:val="00E3160C"/>
    <w:rsid w:val="00E3169F"/>
    <w:rsid w:val="00E328DE"/>
    <w:rsid w:val="00E33CE7"/>
    <w:rsid w:val="00E40723"/>
    <w:rsid w:val="00E40A08"/>
    <w:rsid w:val="00E41D06"/>
    <w:rsid w:val="00E42F69"/>
    <w:rsid w:val="00E43788"/>
    <w:rsid w:val="00E448ED"/>
    <w:rsid w:val="00E476D5"/>
    <w:rsid w:val="00E47A74"/>
    <w:rsid w:val="00E5055F"/>
    <w:rsid w:val="00E5098B"/>
    <w:rsid w:val="00E52316"/>
    <w:rsid w:val="00E527FA"/>
    <w:rsid w:val="00E545DF"/>
    <w:rsid w:val="00E5518A"/>
    <w:rsid w:val="00E5679F"/>
    <w:rsid w:val="00E601B7"/>
    <w:rsid w:val="00E60A5B"/>
    <w:rsid w:val="00E61606"/>
    <w:rsid w:val="00E61A03"/>
    <w:rsid w:val="00E624F8"/>
    <w:rsid w:val="00E62B5D"/>
    <w:rsid w:val="00E63628"/>
    <w:rsid w:val="00E6363B"/>
    <w:rsid w:val="00E65AAF"/>
    <w:rsid w:val="00E664C8"/>
    <w:rsid w:val="00E664DF"/>
    <w:rsid w:val="00E66884"/>
    <w:rsid w:val="00E673ED"/>
    <w:rsid w:val="00E6792B"/>
    <w:rsid w:val="00E67D37"/>
    <w:rsid w:val="00E718C7"/>
    <w:rsid w:val="00E728F5"/>
    <w:rsid w:val="00E72B57"/>
    <w:rsid w:val="00E73B28"/>
    <w:rsid w:val="00E747DF"/>
    <w:rsid w:val="00E7493F"/>
    <w:rsid w:val="00E75159"/>
    <w:rsid w:val="00E75282"/>
    <w:rsid w:val="00E757D1"/>
    <w:rsid w:val="00E7619C"/>
    <w:rsid w:val="00E76BC0"/>
    <w:rsid w:val="00E7733B"/>
    <w:rsid w:val="00E77639"/>
    <w:rsid w:val="00E77858"/>
    <w:rsid w:val="00E77D8E"/>
    <w:rsid w:val="00E80532"/>
    <w:rsid w:val="00E80BA1"/>
    <w:rsid w:val="00E80C92"/>
    <w:rsid w:val="00E81B39"/>
    <w:rsid w:val="00E81EB3"/>
    <w:rsid w:val="00E82B9C"/>
    <w:rsid w:val="00E82D92"/>
    <w:rsid w:val="00E83C87"/>
    <w:rsid w:val="00E852F0"/>
    <w:rsid w:val="00E864AE"/>
    <w:rsid w:val="00E866F7"/>
    <w:rsid w:val="00E867FC"/>
    <w:rsid w:val="00E86B8E"/>
    <w:rsid w:val="00E86FC8"/>
    <w:rsid w:val="00E900EE"/>
    <w:rsid w:val="00E90C0C"/>
    <w:rsid w:val="00E922C5"/>
    <w:rsid w:val="00E92EAC"/>
    <w:rsid w:val="00E92F30"/>
    <w:rsid w:val="00E94755"/>
    <w:rsid w:val="00E95035"/>
    <w:rsid w:val="00E96430"/>
    <w:rsid w:val="00E967AA"/>
    <w:rsid w:val="00EA2789"/>
    <w:rsid w:val="00EA3102"/>
    <w:rsid w:val="00EA3253"/>
    <w:rsid w:val="00EA4478"/>
    <w:rsid w:val="00EA4C01"/>
    <w:rsid w:val="00EA4F9B"/>
    <w:rsid w:val="00EA5471"/>
    <w:rsid w:val="00EA6446"/>
    <w:rsid w:val="00EA7645"/>
    <w:rsid w:val="00EB205F"/>
    <w:rsid w:val="00EB3358"/>
    <w:rsid w:val="00EB3883"/>
    <w:rsid w:val="00EB3A56"/>
    <w:rsid w:val="00EB4145"/>
    <w:rsid w:val="00EB416D"/>
    <w:rsid w:val="00EB499B"/>
    <w:rsid w:val="00EB5568"/>
    <w:rsid w:val="00EB5FCE"/>
    <w:rsid w:val="00EC1884"/>
    <w:rsid w:val="00EC22B8"/>
    <w:rsid w:val="00EC22F0"/>
    <w:rsid w:val="00EC2603"/>
    <w:rsid w:val="00EC473B"/>
    <w:rsid w:val="00EC5E2E"/>
    <w:rsid w:val="00EC6132"/>
    <w:rsid w:val="00EC6B17"/>
    <w:rsid w:val="00EC727A"/>
    <w:rsid w:val="00EC7CE4"/>
    <w:rsid w:val="00ED15F7"/>
    <w:rsid w:val="00ED173B"/>
    <w:rsid w:val="00ED1B56"/>
    <w:rsid w:val="00ED1EE0"/>
    <w:rsid w:val="00ED3541"/>
    <w:rsid w:val="00ED5631"/>
    <w:rsid w:val="00ED5D84"/>
    <w:rsid w:val="00ED6149"/>
    <w:rsid w:val="00ED6C9B"/>
    <w:rsid w:val="00ED7AAA"/>
    <w:rsid w:val="00EE0D52"/>
    <w:rsid w:val="00EE15D5"/>
    <w:rsid w:val="00EE1679"/>
    <w:rsid w:val="00EE1E1F"/>
    <w:rsid w:val="00EE4EA8"/>
    <w:rsid w:val="00EE6540"/>
    <w:rsid w:val="00EE779D"/>
    <w:rsid w:val="00EE7BFD"/>
    <w:rsid w:val="00EE7C55"/>
    <w:rsid w:val="00EF14A2"/>
    <w:rsid w:val="00EF2081"/>
    <w:rsid w:val="00EF3801"/>
    <w:rsid w:val="00EF4E4B"/>
    <w:rsid w:val="00EF5936"/>
    <w:rsid w:val="00EF5D33"/>
    <w:rsid w:val="00EF6734"/>
    <w:rsid w:val="00EF7AA5"/>
    <w:rsid w:val="00F0090C"/>
    <w:rsid w:val="00F01980"/>
    <w:rsid w:val="00F02065"/>
    <w:rsid w:val="00F022EC"/>
    <w:rsid w:val="00F03875"/>
    <w:rsid w:val="00F0480C"/>
    <w:rsid w:val="00F05B2A"/>
    <w:rsid w:val="00F05B44"/>
    <w:rsid w:val="00F06711"/>
    <w:rsid w:val="00F06C45"/>
    <w:rsid w:val="00F11271"/>
    <w:rsid w:val="00F11585"/>
    <w:rsid w:val="00F11738"/>
    <w:rsid w:val="00F126B1"/>
    <w:rsid w:val="00F14211"/>
    <w:rsid w:val="00F14F5B"/>
    <w:rsid w:val="00F16D2B"/>
    <w:rsid w:val="00F16F80"/>
    <w:rsid w:val="00F17540"/>
    <w:rsid w:val="00F219E1"/>
    <w:rsid w:val="00F223B8"/>
    <w:rsid w:val="00F24C0C"/>
    <w:rsid w:val="00F259A7"/>
    <w:rsid w:val="00F25DF8"/>
    <w:rsid w:val="00F26ED5"/>
    <w:rsid w:val="00F271DF"/>
    <w:rsid w:val="00F27DD9"/>
    <w:rsid w:val="00F307BE"/>
    <w:rsid w:val="00F31C8A"/>
    <w:rsid w:val="00F32035"/>
    <w:rsid w:val="00F33E40"/>
    <w:rsid w:val="00F33F69"/>
    <w:rsid w:val="00F34230"/>
    <w:rsid w:val="00F345F8"/>
    <w:rsid w:val="00F35C48"/>
    <w:rsid w:val="00F37622"/>
    <w:rsid w:val="00F379CD"/>
    <w:rsid w:val="00F40D3B"/>
    <w:rsid w:val="00F417D8"/>
    <w:rsid w:val="00F422AB"/>
    <w:rsid w:val="00F42B46"/>
    <w:rsid w:val="00F435F4"/>
    <w:rsid w:val="00F4379A"/>
    <w:rsid w:val="00F43E03"/>
    <w:rsid w:val="00F440A7"/>
    <w:rsid w:val="00F44A84"/>
    <w:rsid w:val="00F45DE9"/>
    <w:rsid w:val="00F45E53"/>
    <w:rsid w:val="00F45EB2"/>
    <w:rsid w:val="00F463F3"/>
    <w:rsid w:val="00F469D1"/>
    <w:rsid w:val="00F46E03"/>
    <w:rsid w:val="00F473E9"/>
    <w:rsid w:val="00F47818"/>
    <w:rsid w:val="00F47D9F"/>
    <w:rsid w:val="00F47F9D"/>
    <w:rsid w:val="00F504E0"/>
    <w:rsid w:val="00F506FE"/>
    <w:rsid w:val="00F51052"/>
    <w:rsid w:val="00F51142"/>
    <w:rsid w:val="00F51683"/>
    <w:rsid w:val="00F51DF7"/>
    <w:rsid w:val="00F51ECE"/>
    <w:rsid w:val="00F52A83"/>
    <w:rsid w:val="00F53665"/>
    <w:rsid w:val="00F55475"/>
    <w:rsid w:val="00F55DCA"/>
    <w:rsid w:val="00F56879"/>
    <w:rsid w:val="00F603D3"/>
    <w:rsid w:val="00F60F89"/>
    <w:rsid w:val="00F61959"/>
    <w:rsid w:val="00F62563"/>
    <w:rsid w:val="00F627EA"/>
    <w:rsid w:val="00F62FAE"/>
    <w:rsid w:val="00F6397C"/>
    <w:rsid w:val="00F63D12"/>
    <w:rsid w:val="00F6523F"/>
    <w:rsid w:val="00F65DA7"/>
    <w:rsid w:val="00F65F02"/>
    <w:rsid w:val="00F6723D"/>
    <w:rsid w:val="00F67E36"/>
    <w:rsid w:val="00F7003C"/>
    <w:rsid w:val="00F70055"/>
    <w:rsid w:val="00F701B4"/>
    <w:rsid w:val="00F730DC"/>
    <w:rsid w:val="00F74C3E"/>
    <w:rsid w:val="00F7648D"/>
    <w:rsid w:val="00F768BD"/>
    <w:rsid w:val="00F77712"/>
    <w:rsid w:val="00F7774D"/>
    <w:rsid w:val="00F80348"/>
    <w:rsid w:val="00F8151F"/>
    <w:rsid w:val="00F81C66"/>
    <w:rsid w:val="00F82627"/>
    <w:rsid w:val="00F82C6F"/>
    <w:rsid w:val="00F8318E"/>
    <w:rsid w:val="00F83204"/>
    <w:rsid w:val="00F83CB2"/>
    <w:rsid w:val="00F83E22"/>
    <w:rsid w:val="00F84B31"/>
    <w:rsid w:val="00F84CBB"/>
    <w:rsid w:val="00F854D6"/>
    <w:rsid w:val="00F8554E"/>
    <w:rsid w:val="00F855EA"/>
    <w:rsid w:val="00F86472"/>
    <w:rsid w:val="00F871F9"/>
    <w:rsid w:val="00F8789E"/>
    <w:rsid w:val="00F879E0"/>
    <w:rsid w:val="00F90FC9"/>
    <w:rsid w:val="00F91139"/>
    <w:rsid w:val="00F9250B"/>
    <w:rsid w:val="00F94A10"/>
    <w:rsid w:val="00F94E34"/>
    <w:rsid w:val="00F954C7"/>
    <w:rsid w:val="00F96AAD"/>
    <w:rsid w:val="00F96DB2"/>
    <w:rsid w:val="00F97719"/>
    <w:rsid w:val="00F979C3"/>
    <w:rsid w:val="00FA01FF"/>
    <w:rsid w:val="00FA1312"/>
    <w:rsid w:val="00FA1D1E"/>
    <w:rsid w:val="00FA21B0"/>
    <w:rsid w:val="00FA2FD7"/>
    <w:rsid w:val="00FA3587"/>
    <w:rsid w:val="00FA38D2"/>
    <w:rsid w:val="00FA3B2F"/>
    <w:rsid w:val="00FA52A8"/>
    <w:rsid w:val="00FA550D"/>
    <w:rsid w:val="00FA56E7"/>
    <w:rsid w:val="00FA69B6"/>
    <w:rsid w:val="00FA7EE5"/>
    <w:rsid w:val="00FB0FFA"/>
    <w:rsid w:val="00FB1B55"/>
    <w:rsid w:val="00FB2AA3"/>
    <w:rsid w:val="00FB2BF1"/>
    <w:rsid w:val="00FB3066"/>
    <w:rsid w:val="00FB3AF6"/>
    <w:rsid w:val="00FB3B01"/>
    <w:rsid w:val="00FB3BF1"/>
    <w:rsid w:val="00FB3E00"/>
    <w:rsid w:val="00FB3FA3"/>
    <w:rsid w:val="00FB5620"/>
    <w:rsid w:val="00FB666B"/>
    <w:rsid w:val="00FB6BDD"/>
    <w:rsid w:val="00FB7E6C"/>
    <w:rsid w:val="00FC0A29"/>
    <w:rsid w:val="00FC0F93"/>
    <w:rsid w:val="00FC3887"/>
    <w:rsid w:val="00FC396B"/>
    <w:rsid w:val="00FC45F5"/>
    <w:rsid w:val="00FC5535"/>
    <w:rsid w:val="00FC71DF"/>
    <w:rsid w:val="00FD0E58"/>
    <w:rsid w:val="00FD28C5"/>
    <w:rsid w:val="00FD31CC"/>
    <w:rsid w:val="00FD356E"/>
    <w:rsid w:val="00FD3A1C"/>
    <w:rsid w:val="00FD50A2"/>
    <w:rsid w:val="00FD5E03"/>
    <w:rsid w:val="00FD5F50"/>
    <w:rsid w:val="00FD65BA"/>
    <w:rsid w:val="00FD6827"/>
    <w:rsid w:val="00FD6FE3"/>
    <w:rsid w:val="00FD78EA"/>
    <w:rsid w:val="00FE0680"/>
    <w:rsid w:val="00FE15C1"/>
    <w:rsid w:val="00FE288A"/>
    <w:rsid w:val="00FE2CB3"/>
    <w:rsid w:val="00FE435A"/>
    <w:rsid w:val="00FE4544"/>
    <w:rsid w:val="00FE4C13"/>
    <w:rsid w:val="00FE54B8"/>
    <w:rsid w:val="00FE5DB2"/>
    <w:rsid w:val="00FE74EE"/>
    <w:rsid w:val="00FE7508"/>
    <w:rsid w:val="00FF084D"/>
    <w:rsid w:val="00FF11C7"/>
    <w:rsid w:val="00FF15DB"/>
    <w:rsid w:val="00FF1BAE"/>
    <w:rsid w:val="00FF2220"/>
    <w:rsid w:val="00FF2BD6"/>
    <w:rsid w:val="00FF59DE"/>
    <w:rsid w:val="00FF6A67"/>
    <w:rsid w:val="00FF78A5"/>
    <w:rsid w:val="022DA057"/>
    <w:rsid w:val="0718984F"/>
    <w:rsid w:val="0E39A1AA"/>
    <w:rsid w:val="1A45FC11"/>
    <w:rsid w:val="1C00837A"/>
    <w:rsid w:val="215C38B9"/>
    <w:rsid w:val="2CFD9BA9"/>
    <w:rsid w:val="2E454F28"/>
    <w:rsid w:val="32D8A4E4"/>
    <w:rsid w:val="382C82C8"/>
    <w:rsid w:val="492509CE"/>
    <w:rsid w:val="5809C24E"/>
    <w:rsid w:val="5A182513"/>
    <w:rsid w:val="5B4A19E4"/>
    <w:rsid w:val="5F1554FC"/>
    <w:rsid w:val="63E9434F"/>
    <w:rsid w:val="64B450ED"/>
    <w:rsid w:val="729BA178"/>
    <w:rsid w:val="74920455"/>
    <w:rsid w:val="7D1EC8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colormru v:ext="edit" colors="#008c8d"/>
    </o:shapedefaults>
    <o:shapelayout v:ext="edit">
      <o:idmap v:ext="edit" data="1"/>
    </o:shapelayout>
  </w:shapeDefaults>
  <w:decimalSymbol w:val="."/>
  <w:listSeparator w:val=","/>
  <w14:docId w14:val="0E49FB82"/>
  <w15:docId w15:val="{727F2470-3BC5-4669-B06D-7F79228A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lsdException w:name="heading 6" w:semiHidden="1" w:uiPriority="22" w:unhideWhenUsed="1"/>
    <w:lsdException w:name="heading 7" w:semiHidden="1" w:uiPriority="23" w:unhideWhenUsed="1" w:qFormat="1"/>
    <w:lsdException w:name="heading 8" w:semiHidden="1" w:uiPriority="24" w:unhideWhenUsed="1"/>
    <w:lsdException w:name="heading 9" w:semiHidden="1" w:uiPriority="25"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qFormat="1"/>
    <w:lsdException w:name="List Bullet 3" w:semiHidden="1" w:uiPriority="7" w:unhideWhenUsed="1"/>
    <w:lsdException w:name="List Bullet 4" w:semiHidden="1" w:unhideWhenUsed="1"/>
    <w:lsdException w:name="List Bullet 5" w:semiHidden="1" w:unhideWhenUsed="1"/>
    <w:lsdException w:name="List Number 2" w:semiHidden="1" w:uiPriority="9" w:unhideWhenUsed="1" w:qFormat="1"/>
    <w:lsdException w:name="List Number 3" w:semiHidden="1" w:uiPriority="1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11pt"/>
    <w:qFormat/>
    <w:rsid w:val="00061435"/>
    <w:pPr>
      <w:spacing w:before="120" w:after="120"/>
    </w:pPr>
    <w:rPr>
      <w:sz w:val="28"/>
    </w:rPr>
  </w:style>
  <w:style w:type="paragraph" w:styleId="Heading1">
    <w:name w:val="heading 1"/>
    <w:next w:val="Normal"/>
    <w:link w:val="Heading1Char"/>
    <w:autoRedefine/>
    <w:uiPriority w:val="1"/>
    <w:qFormat/>
    <w:rsid w:val="00EF2081"/>
    <w:pPr>
      <w:keepNext/>
      <w:keepLines/>
      <w:spacing w:before="240" w:line="560" w:lineRule="exact"/>
      <w:outlineLvl w:val="0"/>
    </w:pPr>
    <w:rPr>
      <w:rFonts w:ascii="Arial" w:eastAsiaTheme="majorEastAsia" w:hAnsi="Arial" w:cstheme="majorBidi"/>
      <w:b/>
      <w:sz w:val="44"/>
      <w:szCs w:val="32"/>
    </w:rPr>
  </w:style>
  <w:style w:type="paragraph" w:styleId="Heading2">
    <w:name w:val="heading 2"/>
    <w:basedOn w:val="Heading1"/>
    <w:next w:val="Normal"/>
    <w:link w:val="Heading2Char"/>
    <w:uiPriority w:val="2"/>
    <w:qFormat/>
    <w:rsid w:val="00872FF4"/>
    <w:pPr>
      <w:spacing w:before="460" w:after="270" w:line="400" w:lineRule="exact"/>
      <w:contextualSpacing/>
      <w:outlineLvl w:val="1"/>
    </w:pPr>
    <w:rPr>
      <w:sz w:val="36"/>
      <w:szCs w:val="26"/>
    </w:rPr>
  </w:style>
  <w:style w:type="paragraph" w:styleId="Heading3">
    <w:name w:val="heading 3"/>
    <w:basedOn w:val="Heading2"/>
    <w:next w:val="Normal"/>
    <w:link w:val="Heading3Char"/>
    <w:uiPriority w:val="3"/>
    <w:qFormat/>
    <w:rsid w:val="00872FF4"/>
    <w:pPr>
      <w:spacing w:before="440" w:line="280" w:lineRule="exact"/>
      <w:outlineLvl w:val="2"/>
    </w:pPr>
    <w:rPr>
      <w:sz w:val="32"/>
      <w:szCs w:val="24"/>
    </w:rPr>
  </w:style>
  <w:style w:type="paragraph" w:styleId="Heading4">
    <w:name w:val="heading 4"/>
    <w:basedOn w:val="Heading3"/>
    <w:next w:val="Normal"/>
    <w:link w:val="Heading4Char"/>
    <w:uiPriority w:val="4"/>
    <w:unhideWhenUsed/>
    <w:qFormat/>
    <w:rsid w:val="007422B8"/>
    <w:pPr>
      <w:spacing w:before="200" w:line="270" w:lineRule="exact"/>
      <w:outlineLvl w:val="3"/>
    </w:pPr>
    <w:rPr>
      <w:bCs/>
      <w:iCs/>
      <w:sz w:val="28"/>
    </w:rPr>
  </w:style>
  <w:style w:type="paragraph" w:styleId="Heading5">
    <w:name w:val="heading 5"/>
    <w:basedOn w:val="Normal"/>
    <w:next w:val="Normal"/>
    <w:link w:val="Heading5Char"/>
    <w:uiPriority w:val="5"/>
    <w:unhideWhenUsed/>
    <w:rsid w:val="00B3266B"/>
    <w:pPr>
      <w:keepNext/>
      <w:keepLines/>
      <w:spacing w:before="200" w:line="270" w:lineRule="exact"/>
      <w:outlineLvl w:val="4"/>
    </w:pPr>
    <w:rPr>
      <w:rFonts w:asciiTheme="majorHAnsi" w:eastAsiaTheme="majorEastAsia" w:hAnsiTheme="majorHAnsi" w:cstheme="majorBidi"/>
      <w:color w:val="006869" w:themeColor="text1" w:themeShade="BF"/>
    </w:rPr>
  </w:style>
  <w:style w:type="paragraph" w:styleId="Heading6">
    <w:name w:val="heading 6"/>
    <w:basedOn w:val="Normal"/>
    <w:next w:val="Normal"/>
    <w:link w:val="Heading6Char"/>
    <w:uiPriority w:val="22"/>
    <w:unhideWhenUsed/>
    <w:rsid w:val="00B3266B"/>
    <w:pPr>
      <w:tabs>
        <w:tab w:val="left" w:pos="284"/>
      </w:tabs>
      <w:spacing w:before="240" w:after="60" w:line="264" w:lineRule="auto"/>
      <w:ind w:left="431" w:hanging="431"/>
      <w:outlineLvl w:val="5"/>
    </w:pPr>
    <w:rPr>
      <w:rFonts w:ascii="Arial" w:eastAsia="Times New Roman" w:hAnsi="Arial" w:cs="Times New Roman"/>
      <w:bCs/>
    </w:rPr>
  </w:style>
  <w:style w:type="paragraph" w:styleId="Heading7">
    <w:name w:val="heading 7"/>
    <w:aliases w:val="Appendix heading"/>
    <w:basedOn w:val="Normal"/>
    <w:next w:val="Normal"/>
    <w:link w:val="Heading7Char"/>
    <w:uiPriority w:val="23"/>
    <w:qFormat/>
    <w:rsid w:val="00683147"/>
    <w:pPr>
      <w:tabs>
        <w:tab w:val="left" w:pos="284"/>
      </w:tabs>
      <w:spacing w:after="0"/>
      <w:ind w:left="357" w:hanging="357"/>
      <w:outlineLvl w:val="6"/>
    </w:pPr>
    <w:rPr>
      <w:rFonts w:ascii="Arial" w:eastAsia="Times New Roman" w:hAnsi="Arial" w:cs="Times New Roman"/>
      <w:color w:val="008C8D" w:themeColor="text1"/>
      <w:sz w:val="40"/>
      <w:szCs w:val="24"/>
    </w:rPr>
  </w:style>
  <w:style w:type="paragraph" w:styleId="Heading8">
    <w:name w:val="heading 8"/>
    <w:aliases w:val="Appendix subheading"/>
    <w:basedOn w:val="Normal"/>
    <w:next w:val="Normal"/>
    <w:link w:val="Heading8Char"/>
    <w:uiPriority w:val="24"/>
    <w:unhideWhenUsed/>
    <w:rsid w:val="000F2A61"/>
    <w:pPr>
      <w:keepNext/>
      <w:keepLines/>
      <w:spacing w:before="360" w:line="0" w:lineRule="atLeast"/>
      <w:outlineLvl w:val="7"/>
    </w:pPr>
    <w:rPr>
      <w:rFonts w:asciiTheme="majorHAnsi" w:eastAsiaTheme="majorEastAsia" w:hAnsiTheme="majorHAnsi" w:cstheme="majorBidi"/>
      <w:color w:val="008C8D" w:themeColor="text1"/>
      <w:szCs w:val="21"/>
    </w:rPr>
  </w:style>
  <w:style w:type="paragraph" w:styleId="Heading9">
    <w:name w:val="heading 9"/>
    <w:basedOn w:val="Normal"/>
    <w:next w:val="Normal"/>
    <w:link w:val="Heading9Char"/>
    <w:uiPriority w:val="25"/>
    <w:rsid w:val="00B3266B"/>
    <w:pPr>
      <w:keepNext/>
      <w:keepLines/>
      <w:spacing w:before="40"/>
      <w:outlineLvl w:val="8"/>
    </w:pPr>
    <w:rPr>
      <w:rFonts w:asciiTheme="majorHAnsi" w:eastAsiaTheme="majorEastAsia" w:hAnsiTheme="majorHAnsi" w:cstheme="majorBidi"/>
      <w:i/>
      <w:iCs/>
      <w:color w:val="008C8D"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872FF4"/>
    <w:rPr>
      <w:rFonts w:ascii="Arial" w:eastAsiaTheme="majorEastAsia" w:hAnsi="Arial" w:cstheme="majorBidi"/>
      <w:b/>
      <w:sz w:val="36"/>
      <w:szCs w:val="26"/>
    </w:rPr>
  </w:style>
  <w:style w:type="character" w:customStyle="1" w:styleId="Heading1Char">
    <w:name w:val="Heading 1 Char"/>
    <w:basedOn w:val="DefaultParagraphFont"/>
    <w:link w:val="Heading1"/>
    <w:uiPriority w:val="1"/>
    <w:rsid w:val="00EF2081"/>
    <w:rPr>
      <w:rFonts w:ascii="Arial" w:eastAsiaTheme="majorEastAsia" w:hAnsi="Arial" w:cstheme="majorBidi"/>
      <w:b/>
      <w:sz w:val="44"/>
      <w:szCs w:val="32"/>
    </w:rPr>
  </w:style>
  <w:style w:type="paragraph" w:styleId="Subtitle">
    <w:name w:val="Subtitle"/>
    <w:basedOn w:val="Normal"/>
    <w:next w:val="Normal"/>
    <w:link w:val="SubtitleChar"/>
    <w:autoRedefine/>
    <w:uiPriority w:val="11"/>
    <w:qFormat/>
    <w:rsid w:val="00F46E03"/>
    <w:pPr>
      <w:tabs>
        <w:tab w:val="center" w:pos="4535"/>
      </w:tabs>
      <w:spacing w:before="0" w:line="520" w:lineRule="exact"/>
    </w:pPr>
    <w:rPr>
      <w:szCs w:val="28"/>
    </w:rPr>
  </w:style>
  <w:style w:type="character" w:customStyle="1" w:styleId="SubtitleChar">
    <w:name w:val="Subtitle Char"/>
    <w:basedOn w:val="DefaultParagraphFont"/>
    <w:link w:val="Subtitle"/>
    <w:uiPriority w:val="11"/>
    <w:rsid w:val="00F46E03"/>
    <w:rPr>
      <w:sz w:val="28"/>
      <w:szCs w:val="28"/>
    </w:rPr>
  </w:style>
  <w:style w:type="paragraph" w:styleId="ListParagraph">
    <w:name w:val="List Paragraph"/>
    <w:basedOn w:val="ListBullet"/>
    <w:uiPriority w:val="34"/>
    <w:qFormat/>
    <w:rsid w:val="00B3266B"/>
  </w:style>
  <w:style w:type="paragraph" w:styleId="ListBullet">
    <w:name w:val="List Bullet"/>
    <w:basedOn w:val="Normal"/>
    <w:link w:val="ListBulletChar"/>
    <w:uiPriority w:val="5"/>
    <w:qFormat/>
    <w:rsid w:val="00683147"/>
    <w:pPr>
      <w:ind w:right="340"/>
    </w:pPr>
  </w:style>
  <w:style w:type="paragraph" w:styleId="ListBullet2">
    <w:name w:val="List Bullet 2"/>
    <w:basedOn w:val="ListBullet"/>
    <w:link w:val="ListBullet2Char"/>
    <w:uiPriority w:val="6"/>
    <w:unhideWhenUsed/>
    <w:qFormat/>
    <w:rsid w:val="00683147"/>
    <w:pPr>
      <w:numPr>
        <w:numId w:val="10"/>
      </w:numPr>
    </w:pPr>
  </w:style>
  <w:style w:type="numbering" w:customStyle="1" w:styleId="ListBullets">
    <w:name w:val="List Bullets"/>
    <w:uiPriority w:val="99"/>
    <w:rsid w:val="00B3266B"/>
    <w:pPr>
      <w:numPr>
        <w:numId w:val="1"/>
      </w:numPr>
    </w:pPr>
  </w:style>
  <w:style w:type="paragraph" w:styleId="ListBullet3">
    <w:name w:val="List Bullet 3"/>
    <w:basedOn w:val="ListBullet"/>
    <w:link w:val="ListBullet3Char"/>
    <w:uiPriority w:val="7"/>
    <w:unhideWhenUsed/>
    <w:rsid w:val="008A1715"/>
    <w:pPr>
      <w:numPr>
        <w:numId w:val="2"/>
      </w:numPr>
    </w:pPr>
  </w:style>
  <w:style w:type="character" w:customStyle="1" w:styleId="Heading3Char">
    <w:name w:val="Heading 3 Char"/>
    <w:basedOn w:val="DefaultParagraphFont"/>
    <w:link w:val="Heading3"/>
    <w:uiPriority w:val="3"/>
    <w:rsid w:val="00872FF4"/>
    <w:rPr>
      <w:rFonts w:ascii="Arial" w:eastAsiaTheme="majorEastAsia" w:hAnsi="Arial" w:cstheme="majorBidi"/>
      <w:b/>
      <w:sz w:val="32"/>
      <w:szCs w:val="24"/>
    </w:rPr>
  </w:style>
  <w:style w:type="paragraph" w:styleId="Quote">
    <w:name w:val="Quote"/>
    <w:aliases w:val="Large Quote,Quote B"/>
    <w:next w:val="Normal"/>
    <w:link w:val="QuoteChar"/>
    <w:uiPriority w:val="14"/>
    <w:qFormat/>
    <w:rsid w:val="00683147"/>
    <w:pPr>
      <w:spacing w:before="320" w:after="120" w:line="440" w:lineRule="exact"/>
      <w:ind w:right="454"/>
    </w:pPr>
    <w:rPr>
      <w:i/>
      <w:iCs/>
      <w:color w:val="448689" w:themeColor="accent1" w:themeShade="BF"/>
      <w:sz w:val="30"/>
    </w:rPr>
  </w:style>
  <w:style w:type="character" w:customStyle="1" w:styleId="QuoteChar">
    <w:name w:val="Quote Char"/>
    <w:aliases w:val="Large Quote Char,Quote B Char"/>
    <w:basedOn w:val="DefaultParagraphFont"/>
    <w:link w:val="Quote"/>
    <w:uiPriority w:val="14"/>
    <w:rsid w:val="00683147"/>
    <w:rPr>
      <w:i/>
      <w:iCs/>
      <w:color w:val="448689" w:themeColor="accent1" w:themeShade="BF"/>
      <w:sz w:val="30"/>
    </w:rPr>
  </w:style>
  <w:style w:type="character" w:styleId="FootnoteReference">
    <w:name w:val="footnote reference"/>
    <w:aliases w:val="Footnote symbol,Footnote"/>
    <w:basedOn w:val="DefaultParagraphFont"/>
    <w:uiPriority w:val="99"/>
    <w:unhideWhenUsed/>
    <w:rsid w:val="002A09AF"/>
    <w:rPr>
      <w:rFonts w:ascii="Arial" w:hAnsi="Arial"/>
      <w:b/>
      <w:color w:val="auto"/>
      <w:sz w:val="28"/>
      <w:vertAlign w:val="baseline"/>
    </w:rPr>
  </w:style>
  <w:style w:type="paragraph" w:styleId="FootnoteText">
    <w:name w:val="footnote text"/>
    <w:aliases w:val="Char5,Footnote Text Char Char"/>
    <w:basedOn w:val="Normal"/>
    <w:link w:val="FootnoteTextChar"/>
    <w:uiPriority w:val="99"/>
    <w:unhideWhenUsed/>
    <w:rsid w:val="002A09AF"/>
    <w:pPr>
      <w:tabs>
        <w:tab w:val="left" w:pos="284"/>
      </w:tabs>
      <w:spacing w:before="0"/>
      <w:ind w:left="113" w:hanging="113"/>
    </w:pPr>
    <w:rPr>
      <w:szCs w:val="20"/>
    </w:rPr>
  </w:style>
  <w:style w:type="character" w:customStyle="1" w:styleId="FootnoteTextChar">
    <w:name w:val="Footnote Text Char"/>
    <w:aliases w:val="Char5 Char1,Footnote Text Char Char Char1"/>
    <w:basedOn w:val="DefaultParagraphFont"/>
    <w:link w:val="FootnoteText"/>
    <w:uiPriority w:val="99"/>
    <w:rsid w:val="002A09AF"/>
    <w:rPr>
      <w:sz w:val="28"/>
      <w:szCs w:val="20"/>
    </w:rPr>
  </w:style>
  <w:style w:type="paragraph" w:customStyle="1" w:styleId="BasicParagraph">
    <w:name w:val="[Basic Paragraph]"/>
    <w:basedOn w:val="Normal"/>
    <w:uiPriority w:val="99"/>
    <w:rsid w:val="00B3266B"/>
    <w:pPr>
      <w:autoSpaceDE w:val="0"/>
      <w:autoSpaceDN w:val="0"/>
      <w:adjustRightInd w:val="0"/>
      <w:spacing w:before="0"/>
      <w:textAlignment w:val="center"/>
    </w:pPr>
    <w:rPr>
      <w:rFonts w:cs="Times (TT) Regular"/>
      <w:szCs w:val="24"/>
    </w:rPr>
  </w:style>
  <w:style w:type="paragraph" w:styleId="Caption">
    <w:name w:val="caption"/>
    <w:aliases w:val="Caption Bold"/>
    <w:basedOn w:val="Normal"/>
    <w:next w:val="Normal"/>
    <w:uiPriority w:val="8"/>
    <w:unhideWhenUsed/>
    <w:qFormat/>
    <w:rsid w:val="00683147"/>
    <w:pPr>
      <w:spacing w:before="80" w:line="240" w:lineRule="atLeast"/>
    </w:pPr>
    <w:rPr>
      <w:b/>
      <w:iCs/>
      <w:color w:val="448689" w:themeColor="accent1" w:themeShade="BF"/>
      <w:sz w:val="18"/>
      <w:szCs w:val="18"/>
    </w:rPr>
  </w:style>
  <w:style w:type="paragraph" w:customStyle="1" w:styleId="Highlightbox">
    <w:name w:val="Highlight box"/>
    <w:link w:val="HighlightboxChar"/>
    <w:rsid w:val="00B3266B"/>
    <w:pPr>
      <w:spacing w:after="120"/>
    </w:pPr>
    <w:rPr>
      <w:color w:val="FBFBFB" w:themeColor="background1"/>
      <w:sz w:val="20"/>
    </w:rPr>
  </w:style>
  <w:style w:type="table" w:styleId="TableGrid">
    <w:name w:val="Table Grid"/>
    <w:aliases w:val="Table Grid OPM"/>
    <w:basedOn w:val="TableNormal"/>
    <w:uiPriority w:val="59"/>
    <w:rsid w:val="00B3266B"/>
    <w:rPr>
      <w:rFonts w:ascii="Arial" w:hAnsi="Arial"/>
    </w:rPr>
    <w:tblPr>
      <w:tblBorders>
        <w:top w:val="single" w:sz="4" w:space="0" w:color="448689" w:themeColor="accent1" w:themeShade="BF"/>
        <w:left w:val="single" w:sz="4" w:space="0" w:color="448689" w:themeColor="accent1" w:themeShade="BF"/>
        <w:bottom w:val="single" w:sz="4" w:space="0" w:color="448689" w:themeColor="accent1" w:themeShade="BF"/>
        <w:right w:val="single" w:sz="4" w:space="0" w:color="448689" w:themeColor="accent1" w:themeShade="BF"/>
        <w:insideH w:val="single" w:sz="4" w:space="0" w:color="448689" w:themeColor="accent1" w:themeShade="BF"/>
        <w:insideV w:val="single" w:sz="4" w:space="0" w:color="448689" w:themeColor="accent1" w:themeShade="BF"/>
      </w:tblBorders>
    </w:tblPr>
  </w:style>
  <w:style w:type="character" w:customStyle="1" w:styleId="Heading8Char">
    <w:name w:val="Heading 8 Char"/>
    <w:aliases w:val="Appendix subheading Char"/>
    <w:basedOn w:val="DefaultParagraphFont"/>
    <w:link w:val="Heading8"/>
    <w:uiPriority w:val="24"/>
    <w:rsid w:val="000F2A61"/>
    <w:rPr>
      <w:rFonts w:asciiTheme="majorHAnsi" w:eastAsiaTheme="majorEastAsia" w:hAnsiTheme="majorHAnsi" w:cstheme="majorBidi"/>
      <w:color w:val="008C8D" w:themeColor="text1"/>
      <w:sz w:val="28"/>
      <w:szCs w:val="21"/>
    </w:rPr>
  </w:style>
  <w:style w:type="table" w:customStyle="1" w:styleId="OPMTableStyle3">
    <w:name w:val="OPM Table Style 3"/>
    <w:basedOn w:val="TableNormal"/>
    <w:uiPriority w:val="99"/>
    <w:rsid w:val="00B3266B"/>
    <w:pPr>
      <w:contextualSpacing/>
    </w:pPr>
    <w:rPr>
      <w:color w:val="008C8D" w:themeColor="text1"/>
      <w:sz w:val="20"/>
    </w:rPr>
    <w:tblPr>
      <w:tblBorders>
        <w:top w:val="single" w:sz="4" w:space="0" w:color="7D7D7D" w:themeColor="background1" w:themeShade="80"/>
        <w:bottom w:val="single" w:sz="4" w:space="0" w:color="7D7D7D" w:themeColor="background1" w:themeShade="80"/>
        <w:insideH w:val="single" w:sz="4" w:space="0" w:color="7D7D7D" w:themeColor="background1" w:themeShade="80"/>
      </w:tblBorders>
    </w:tblPr>
    <w:tcPr>
      <w:shd w:val="clear" w:color="auto" w:fill="auto"/>
      <w:tcMar>
        <w:top w:w="181" w:type="dxa"/>
        <w:left w:w="0" w:type="dxa"/>
        <w:bottom w:w="198" w:type="dxa"/>
        <w:right w:w="0" w:type="dxa"/>
      </w:tcMar>
    </w:tcPr>
    <w:tblStylePr w:type="firstCol">
      <w:rPr>
        <w:rFonts w:ascii="Arial" w:hAnsi="Arial"/>
        <w:b/>
        <w:sz w:val="20"/>
      </w:rPr>
    </w:tblStylePr>
  </w:style>
  <w:style w:type="table" w:customStyle="1" w:styleId="LightShading-Accent11">
    <w:name w:val="Light Shading - Accent 11"/>
    <w:basedOn w:val="TableNormal"/>
    <w:uiPriority w:val="60"/>
    <w:rsid w:val="00B3266B"/>
    <w:rPr>
      <w:color w:val="448689" w:themeColor="accent1" w:themeShade="BF"/>
    </w:rPr>
    <w:tblPr>
      <w:tblStyleRowBandSize w:val="1"/>
      <w:tblStyleColBandSize w:val="1"/>
      <w:tblBorders>
        <w:top w:val="single" w:sz="8" w:space="0" w:color="62AEB1" w:themeColor="accent1"/>
        <w:bottom w:val="single" w:sz="8" w:space="0" w:color="62AEB1" w:themeColor="accent1"/>
      </w:tblBorders>
    </w:tblPr>
    <w:tblStylePr w:type="firstRow">
      <w:pPr>
        <w:spacing w:before="0" w:after="0" w:line="240" w:lineRule="auto"/>
      </w:pPr>
      <w:rPr>
        <w:b/>
        <w:bCs/>
      </w:rPr>
      <w:tblPr/>
      <w:tcPr>
        <w:tcBorders>
          <w:top w:val="single" w:sz="8" w:space="0" w:color="62AEB1" w:themeColor="accent1"/>
          <w:left w:val="nil"/>
          <w:bottom w:val="single" w:sz="8" w:space="0" w:color="62AEB1" w:themeColor="accent1"/>
          <w:right w:val="nil"/>
          <w:insideH w:val="nil"/>
          <w:insideV w:val="nil"/>
        </w:tcBorders>
      </w:tcPr>
    </w:tblStylePr>
    <w:tblStylePr w:type="lastRow">
      <w:pPr>
        <w:spacing w:before="0" w:after="0" w:line="240" w:lineRule="auto"/>
      </w:pPr>
      <w:rPr>
        <w:b/>
        <w:bCs/>
      </w:rPr>
      <w:tblPr/>
      <w:tcPr>
        <w:tcBorders>
          <w:top w:val="single" w:sz="8" w:space="0" w:color="62AEB1" w:themeColor="accent1"/>
          <w:left w:val="nil"/>
          <w:bottom w:val="single" w:sz="8" w:space="0" w:color="62AEB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AEB" w:themeFill="accent1" w:themeFillTint="3F"/>
      </w:tcPr>
    </w:tblStylePr>
    <w:tblStylePr w:type="band1Horz">
      <w:tblPr/>
      <w:tcPr>
        <w:tcBorders>
          <w:left w:val="nil"/>
          <w:right w:val="nil"/>
          <w:insideH w:val="nil"/>
          <w:insideV w:val="nil"/>
        </w:tcBorders>
        <w:shd w:val="clear" w:color="auto" w:fill="D8EAEB" w:themeFill="accent1" w:themeFillTint="3F"/>
      </w:tcPr>
    </w:tblStylePr>
  </w:style>
  <w:style w:type="character" w:styleId="PlaceholderText">
    <w:name w:val="Placeholder Text"/>
    <w:basedOn w:val="DefaultParagraphFont"/>
    <w:uiPriority w:val="99"/>
    <w:semiHidden/>
    <w:rsid w:val="00B3266B"/>
    <w:rPr>
      <w:color w:val="808080"/>
    </w:rPr>
  </w:style>
  <w:style w:type="paragraph" w:styleId="TOCHeading">
    <w:name w:val="TOC Heading"/>
    <w:basedOn w:val="Heading1"/>
    <w:next w:val="Normal"/>
    <w:uiPriority w:val="39"/>
    <w:unhideWhenUsed/>
    <w:qFormat/>
    <w:rsid w:val="00683147"/>
    <w:pPr>
      <w:spacing w:line="259" w:lineRule="auto"/>
      <w:outlineLvl w:val="9"/>
    </w:pPr>
    <w:rPr>
      <w:sz w:val="32"/>
      <w:lang w:val="en-US"/>
    </w:rPr>
  </w:style>
  <w:style w:type="paragraph" w:styleId="TOC1">
    <w:name w:val="toc 1"/>
    <w:next w:val="Normal"/>
    <w:uiPriority w:val="39"/>
    <w:unhideWhenUsed/>
    <w:qFormat/>
    <w:rsid w:val="00683147"/>
    <w:pPr>
      <w:tabs>
        <w:tab w:val="right" w:leader="dot" w:pos="7830"/>
      </w:tabs>
      <w:spacing w:before="360" w:after="60" w:line="260" w:lineRule="exact"/>
    </w:pPr>
    <w:rPr>
      <w:rFonts w:ascii="Arial" w:hAnsi="Arial"/>
      <w:b/>
      <w:noProof/>
      <w:color w:val="414042" w:themeColor="text2"/>
      <w:sz w:val="21"/>
    </w:rPr>
  </w:style>
  <w:style w:type="paragraph" w:styleId="TOC2">
    <w:name w:val="toc 2"/>
    <w:basedOn w:val="Normal"/>
    <w:next w:val="Normal"/>
    <w:uiPriority w:val="39"/>
    <w:unhideWhenUsed/>
    <w:qFormat/>
    <w:rsid w:val="00683147"/>
    <w:pPr>
      <w:tabs>
        <w:tab w:val="right" w:leader="dot" w:pos="7831"/>
      </w:tabs>
      <w:spacing w:before="0" w:after="60"/>
      <w:ind w:left="284"/>
    </w:pPr>
    <w:rPr>
      <w:rFonts w:ascii="Arial" w:hAnsi="Arial"/>
      <w:noProof/>
      <w:color w:val="3E3E3E" w:themeColor="background1" w:themeShade="40"/>
      <w:sz w:val="21"/>
    </w:rPr>
  </w:style>
  <w:style w:type="paragraph" w:styleId="TOC3">
    <w:name w:val="toc 3"/>
    <w:basedOn w:val="Normal"/>
    <w:next w:val="Normal"/>
    <w:autoRedefine/>
    <w:uiPriority w:val="39"/>
    <w:unhideWhenUsed/>
    <w:rsid w:val="00B3266B"/>
    <w:pPr>
      <w:tabs>
        <w:tab w:val="right" w:leader="dot" w:pos="7831"/>
      </w:tabs>
      <w:spacing w:before="0" w:after="60" w:line="260" w:lineRule="exact"/>
      <w:ind w:left="567"/>
    </w:pPr>
    <w:rPr>
      <w:rFonts w:ascii="Arial" w:hAnsi="Arial"/>
      <w:color w:val="3E3E3E" w:themeColor="background1" w:themeShade="40"/>
      <w:sz w:val="21"/>
    </w:rPr>
  </w:style>
  <w:style w:type="character" w:styleId="Hyperlink">
    <w:name w:val="Hyperlink"/>
    <w:basedOn w:val="DefaultParagraphFont"/>
    <w:uiPriority w:val="99"/>
    <w:unhideWhenUsed/>
    <w:rsid w:val="00B3266B"/>
    <w:rPr>
      <w:color w:val="02366B" w:themeColor="accent6" w:themeShade="BF"/>
      <w:u w:val="single"/>
    </w:rPr>
  </w:style>
  <w:style w:type="paragraph" w:customStyle="1" w:styleId="headerandfooteronly">
    <w:name w:val="header and footer only"/>
    <w:link w:val="headerandfooteronlyChar"/>
    <w:uiPriority w:val="11"/>
    <w:qFormat/>
    <w:rsid w:val="00683147"/>
    <w:pPr>
      <w:pBdr>
        <w:top w:val="single" w:sz="4" w:space="3" w:color="008C8D" w:themeColor="text1"/>
      </w:pBdr>
    </w:pPr>
    <w:rPr>
      <w:rFonts w:ascii="Arial" w:hAnsi="Arial" w:cs="Arial"/>
      <w:color w:val="191919" w:themeColor="background1" w:themeShade="1A"/>
      <w:sz w:val="16"/>
      <w:szCs w:val="14"/>
    </w:rPr>
  </w:style>
  <w:style w:type="paragraph" w:customStyle="1" w:styleId="Smallquotesgreenindented11pt">
    <w:name w:val="Small quotes green indented 11pt"/>
    <w:basedOn w:val="Normal"/>
    <w:link w:val="Smallquotesgreenindented11ptChar"/>
    <w:uiPriority w:val="10"/>
    <w:qFormat/>
    <w:rsid w:val="00683147"/>
    <w:pPr>
      <w:ind w:left="567" w:right="567"/>
    </w:pPr>
    <w:rPr>
      <w:color w:val="448689" w:themeColor="accent1" w:themeShade="BF"/>
    </w:rPr>
  </w:style>
  <w:style w:type="character" w:customStyle="1" w:styleId="Smallquotesgreenindented11ptChar">
    <w:name w:val="Small quotes green indented 11pt Char"/>
    <w:basedOn w:val="DefaultParagraphFont"/>
    <w:link w:val="Smallquotesgreenindented11pt"/>
    <w:uiPriority w:val="10"/>
    <w:rsid w:val="00683147"/>
    <w:rPr>
      <w:color w:val="448689" w:themeColor="accent1" w:themeShade="BF"/>
    </w:rPr>
  </w:style>
  <w:style w:type="table" w:customStyle="1" w:styleId="OPMTableStyle1">
    <w:name w:val="OPM Table Style 1"/>
    <w:basedOn w:val="OPMTableStyle2"/>
    <w:uiPriority w:val="99"/>
    <w:rsid w:val="00B3266B"/>
    <w:pPr>
      <w:spacing w:line="240" w:lineRule="exact"/>
      <w:contextualSpacing/>
    </w:pPr>
    <w:rPr>
      <w:rFonts w:ascii="Arial" w:hAnsi="Arial"/>
      <w:color w:val="414042" w:themeColor="text2"/>
      <w:szCs w:val="20"/>
      <w:lang w:val="en-AU" w:eastAsia="en-GB"/>
    </w:rPr>
    <w:tblPr>
      <w:tblBorders>
        <w:top w:val="single" w:sz="4" w:space="0" w:color="E2E6E4"/>
        <w:left w:val="none" w:sz="0" w:space="0" w:color="auto"/>
        <w:bottom w:val="single" w:sz="4" w:space="0" w:color="E2E6E4"/>
        <w:right w:val="none" w:sz="0" w:space="0" w:color="auto"/>
        <w:insideH w:val="single" w:sz="4" w:space="0" w:color="E2E6E4"/>
        <w:insideV w:val="none" w:sz="0" w:space="0" w:color="auto"/>
      </w:tblBorders>
      <w:tblCellMar>
        <w:top w:w="68" w:type="dxa"/>
        <w:left w:w="113" w:type="dxa"/>
        <w:bottom w:w="68" w:type="dxa"/>
        <w:right w:w="113" w:type="dxa"/>
      </w:tblCellMar>
    </w:tblPr>
    <w:tblStylePr w:type="firstRow">
      <w:rPr>
        <w:b/>
        <w:bCs/>
      </w:rPr>
    </w:tblStylePr>
    <w:tblStylePr w:type="lastRow">
      <w:rPr>
        <w:b/>
        <w:bCs/>
      </w:rPr>
      <w:tblPr/>
      <w:tcPr>
        <w:tcBorders>
          <w:top w:val="double" w:sz="4" w:space="0" w:color="BCBCBC" w:themeColor="background1" w:themeShade="BF"/>
        </w:tcBorders>
      </w:tcPr>
    </w:tblStylePr>
    <w:tblStylePr w:type="firstCol">
      <w:rPr>
        <w:b/>
        <w:bCs/>
      </w:rPr>
    </w:tblStylePr>
    <w:tblStylePr w:type="lastCol">
      <w:rPr>
        <w:b/>
        <w:bCs/>
      </w:rPr>
    </w:tblStylePr>
    <w:tblStylePr w:type="band1Vert">
      <w:tblPr/>
      <w:tcPr>
        <w:shd w:val="clear" w:color="auto" w:fill="EEEEEE" w:themeFill="background1" w:themeFillShade="F2"/>
      </w:tcPr>
    </w:tblStylePr>
    <w:tblStylePr w:type="band1Horz">
      <w:tblPr/>
      <w:tcPr>
        <w:shd w:val="clear" w:color="auto" w:fill="EEEEEE" w:themeFill="background1" w:themeFillShade="F2"/>
      </w:tcPr>
    </w:tblStylePr>
  </w:style>
  <w:style w:type="table" w:customStyle="1" w:styleId="OPMTableStyle2">
    <w:name w:val="OPM Table Style 2"/>
    <w:basedOn w:val="TableNormal"/>
    <w:uiPriority w:val="41"/>
    <w:rsid w:val="00B3266B"/>
    <w:rPr>
      <w:sz w:val="20"/>
    </w:rPr>
    <w:tblPr>
      <w:tblStyleRowBandSize w:val="1"/>
      <w:tblStyleColBandSize w:val="1"/>
      <w:tblBorders>
        <w:top w:val="single" w:sz="4" w:space="0" w:color="BCBCBC" w:themeColor="background1" w:themeShade="BF"/>
        <w:left w:val="single" w:sz="4" w:space="0" w:color="BCBCBC" w:themeColor="background1" w:themeShade="BF"/>
        <w:bottom w:val="single" w:sz="4" w:space="0" w:color="BCBCBC" w:themeColor="background1" w:themeShade="BF"/>
        <w:right w:val="single" w:sz="4" w:space="0" w:color="BCBCBC" w:themeColor="background1" w:themeShade="BF"/>
        <w:insideH w:val="single" w:sz="4" w:space="0" w:color="BCBCBC" w:themeColor="background1" w:themeShade="BF"/>
        <w:insideV w:val="single" w:sz="4" w:space="0" w:color="BCBCBC" w:themeColor="background1" w:themeShade="BF"/>
      </w:tblBorders>
    </w:tblPr>
    <w:tblStylePr w:type="firstRow">
      <w:rPr>
        <w:b/>
        <w:bCs/>
      </w:rPr>
    </w:tblStylePr>
    <w:tblStylePr w:type="lastRow">
      <w:rPr>
        <w:b/>
        <w:bCs/>
      </w:rPr>
      <w:tblPr/>
      <w:tcPr>
        <w:tcBorders>
          <w:top w:val="double" w:sz="4" w:space="0" w:color="BCBCBC" w:themeColor="background1" w:themeShade="BF"/>
        </w:tcBorders>
      </w:tcPr>
    </w:tblStylePr>
    <w:tblStylePr w:type="firstCol">
      <w:rPr>
        <w:b/>
        <w:bCs/>
      </w:rPr>
    </w:tblStylePr>
    <w:tblStylePr w:type="lastCol">
      <w:rPr>
        <w:b/>
        <w:bCs/>
      </w:rPr>
    </w:tblStylePr>
    <w:tblStylePr w:type="band1Vert">
      <w:tblPr/>
      <w:tcPr>
        <w:shd w:val="clear" w:color="auto" w:fill="EEEEEE" w:themeFill="background1" w:themeFillShade="F2"/>
      </w:tcPr>
    </w:tblStylePr>
    <w:tblStylePr w:type="band1Horz">
      <w:tblPr/>
      <w:tcPr>
        <w:shd w:val="clear" w:color="auto" w:fill="EEEEEE" w:themeFill="background1" w:themeFillShade="F2"/>
      </w:tcPr>
    </w:tblStylePr>
  </w:style>
  <w:style w:type="character" w:customStyle="1" w:styleId="headerandfooteronlyChar">
    <w:name w:val="header and footer only Char"/>
    <w:basedOn w:val="DefaultParagraphFont"/>
    <w:link w:val="headerandfooteronly"/>
    <w:uiPriority w:val="11"/>
    <w:rsid w:val="00683147"/>
    <w:rPr>
      <w:rFonts w:ascii="Arial" w:hAnsi="Arial" w:cs="Arial"/>
      <w:color w:val="191919" w:themeColor="background1" w:themeShade="1A"/>
      <w:sz w:val="16"/>
      <w:szCs w:val="14"/>
    </w:rPr>
  </w:style>
  <w:style w:type="character" w:customStyle="1" w:styleId="ListBullet2Char">
    <w:name w:val="List Bullet 2 Char"/>
    <w:basedOn w:val="ListBulletChar"/>
    <w:link w:val="ListBullet2"/>
    <w:uiPriority w:val="6"/>
    <w:rsid w:val="00683147"/>
    <w:rPr>
      <w:sz w:val="28"/>
    </w:rPr>
  </w:style>
  <w:style w:type="character" w:customStyle="1" w:styleId="Heading9Char">
    <w:name w:val="Heading 9 Char"/>
    <w:basedOn w:val="DefaultParagraphFont"/>
    <w:link w:val="Heading9"/>
    <w:uiPriority w:val="25"/>
    <w:rsid w:val="00B3266B"/>
    <w:rPr>
      <w:rFonts w:asciiTheme="majorHAnsi" w:eastAsiaTheme="majorEastAsia" w:hAnsiTheme="majorHAnsi" w:cstheme="majorBidi"/>
      <w:i/>
      <w:iCs/>
      <w:color w:val="008C8D" w:themeColor="text1"/>
      <w:sz w:val="21"/>
      <w:szCs w:val="21"/>
    </w:rPr>
  </w:style>
  <w:style w:type="character" w:styleId="SubtleEmphasis">
    <w:name w:val="Subtle Emphasis"/>
    <w:basedOn w:val="DefaultParagraphFont"/>
    <w:uiPriority w:val="19"/>
    <w:unhideWhenUsed/>
    <w:rsid w:val="00B3266B"/>
    <w:rPr>
      <w:i/>
      <w:iCs/>
      <w:color w:val="448689" w:themeColor="accent1" w:themeShade="BF"/>
    </w:rPr>
  </w:style>
  <w:style w:type="paragraph" w:styleId="BalloonText">
    <w:name w:val="Balloon Text"/>
    <w:basedOn w:val="Normal"/>
    <w:link w:val="BalloonTextChar"/>
    <w:uiPriority w:val="99"/>
    <w:semiHidden/>
    <w:unhideWhenUsed/>
    <w:rsid w:val="00B3266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66B"/>
    <w:rPr>
      <w:rFonts w:ascii="Tahoma" w:hAnsi="Tahoma" w:cs="Tahoma"/>
      <w:sz w:val="16"/>
      <w:szCs w:val="16"/>
    </w:rPr>
  </w:style>
  <w:style w:type="paragraph" w:styleId="ListNumber">
    <w:name w:val="List Number"/>
    <w:aliases w:val="List Number 1"/>
    <w:basedOn w:val="Normal"/>
    <w:link w:val="ListNumberChar"/>
    <w:uiPriority w:val="8"/>
    <w:qFormat/>
    <w:rsid w:val="00683147"/>
    <w:pPr>
      <w:numPr>
        <w:numId w:val="9"/>
      </w:numPr>
      <w:ind w:left="357" w:right="340" w:hanging="357"/>
    </w:pPr>
  </w:style>
  <w:style w:type="paragraph" w:styleId="ListNumber2">
    <w:name w:val="List Number 2"/>
    <w:basedOn w:val="Normal"/>
    <w:link w:val="ListNumber2Char"/>
    <w:uiPriority w:val="9"/>
    <w:unhideWhenUsed/>
    <w:qFormat/>
    <w:rsid w:val="00683147"/>
    <w:pPr>
      <w:numPr>
        <w:ilvl w:val="1"/>
        <w:numId w:val="8"/>
      </w:numPr>
      <w:ind w:left="714" w:right="340" w:hanging="357"/>
    </w:pPr>
  </w:style>
  <w:style w:type="paragraph" w:styleId="ListNumber3">
    <w:name w:val="List Number 3"/>
    <w:basedOn w:val="Normal"/>
    <w:link w:val="ListNumber3Char"/>
    <w:uiPriority w:val="10"/>
    <w:unhideWhenUsed/>
    <w:rsid w:val="008A1715"/>
    <w:pPr>
      <w:numPr>
        <w:numId w:val="3"/>
      </w:numPr>
      <w:ind w:left="1037" w:hanging="357"/>
    </w:pPr>
  </w:style>
  <w:style w:type="paragraph" w:styleId="ListNumber4">
    <w:name w:val="List Number 4"/>
    <w:basedOn w:val="Normal"/>
    <w:uiPriority w:val="99"/>
    <w:semiHidden/>
    <w:unhideWhenUsed/>
    <w:rsid w:val="00B3266B"/>
    <w:pPr>
      <w:numPr>
        <w:numId w:val="4"/>
      </w:numPr>
    </w:pPr>
  </w:style>
  <w:style w:type="paragraph" w:styleId="ListNumber5">
    <w:name w:val="List Number 5"/>
    <w:basedOn w:val="Normal"/>
    <w:uiPriority w:val="99"/>
    <w:semiHidden/>
    <w:unhideWhenUsed/>
    <w:rsid w:val="00B3266B"/>
    <w:pPr>
      <w:numPr>
        <w:numId w:val="5"/>
      </w:numPr>
    </w:pPr>
  </w:style>
  <w:style w:type="character" w:customStyle="1" w:styleId="Heading4Char">
    <w:name w:val="Heading 4 Char"/>
    <w:basedOn w:val="DefaultParagraphFont"/>
    <w:link w:val="Heading4"/>
    <w:uiPriority w:val="4"/>
    <w:rsid w:val="007422B8"/>
    <w:rPr>
      <w:rFonts w:ascii="Arial" w:eastAsiaTheme="majorEastAsia" w:hAnsi="Arial" w:cstheme="majorBidi"/>
      <w:b/>
      <w:bCs/>
      <w:iCs/>
      <w:sz w:val="28"/>
      <w:szCs w:val="24"/>
    </w:rPr>
  </w:style>
  <w:style w:type="character" w:customStyle="1" w:styleId="Heading5Char">
    <w:name w:val="Heading 5 Char"/>
    <w:basedOn w:val="DefaultParagraphFont"/>
    <w:link w:val="Heading5"/>
    <w:uiPriority w:val="5"/>
    <w:rsid w:val="00B3266B"/>
    <w:rPr>
      <w:rFonts w:asciiTheme="majorHAnsi" w:eastAsiaTheme="majorEastAsia" w:hAnsiTheme="majorHAnsi" w:cstheme="majorBidi"/>
      <w:color w:val="006869" w:themeColor="text1" w:themeShade="BF"/>
    </w:rPr>
  </w:style>
  <w:style w:type="character" w:customStyle="1" w:styleId="Heading6Char">
    <w:name w:val="Heading 6 Char"/>
    <w:basedOn w:val="DefaultParagraphFont"/>
    <w:link w:val="Heading6"/>
    <w:uiPriority w:val="22"/>
    <w:rsid w:val="00B3266B"/>
    <w:rPr>
      <w:rFonts w:ascii="Arial" w:eastAsia="Times New Roman" w:hAnsi="Arial" w:cs="Times New Roman"/>
      <w:bCs/>
    </w:rPr>
  </w:style>
  <w:style w:type="character" w:customStyle="1" w:styleId="ListBulletChar">
    <w:name w:val="List Bullet Char"/>
    <w:basedOn w:val="DefaultParagraphFont"/>
    <w:link w:val="ListBullet"/>
    <w:uiPriority w:val="5"/>
    <w:rsid w:val="00683147"/>
    <w:rPr>
      <w:sz w:val="28"/>
    </w:rPr>
  </w:style>
  <w:style w:type="character" w:customStyle="1" w:styleId="Heading7Char">
    <w:name w:val="Heading 7 Char"/>
    <w:aliases w:val="Appendix heading Char"/>
    <w:basedOn w:val="DefaultParagraphFont"/>
    <w:link w:val="Heading7"/>
    <w:uiPriority w:val="23"/>
    <w:rsid w:val="00683147"/>
    <w:rPr>
      <w:rFonts w:ascii="Arial" w:eastAsia="Times New Roman" w:hAnsi="Arial" w:cs="Times New Roman"/>
      <w:color w:val="008C8D" w:themeColor="text1"/>
      <w:sz w:val="40"/>
      <w:szCs w:val="24"/>
    </w:rPr>
  </w:style>
  <w:style w:type="character" w:customStyle="1" w:styleId="HighlightboxChar">
    <w:name w:val="Highlight box Char"/>
    <w:basedOn w:val="DefaultParagraphFont"/>
    <w:link w:val="Highlightbox"/>
    <w:rsid w:val="00B3266B"/>
    <w:rPr>
      <w:color w:val="FBFBFB" w:themeColor="background1"/>
      <w:sz w:val="20"/>
    </w:rPr>
  </w:style>
  <w:style w:type="paragraph" w:customStyle="1" w:styleId="Smalltext10pt">
    <w:name w:val="Small text (10pt)"/>
    <w:basedOn w:val="Normal"/>
    <w:link w:val="Smalltext10ptChar"/>
    <w:uiPriority w:val="12"/>
    <w:rsid w:val="00B3266B"/>
    <w:pPr>
      <w:spacing w:before="60" w:after="60"/>
    </w:pPr>
    <w:rPr>
      <w:sz w:val="20"/>
      <w:szCs w:val="20"/>
    </w:rPr>
  </w:style>
  <w:style w:type="paragraph" w:customStyle="1" w:styleId="Small10ptlistbullet">
    <w:name w:val="Small (10pt) list bullet"/>
    <w:basedOn w:val="ListBullet"/>
    <w:link w:val="Small10ptlistbulletChar"/>
    <w:uiPriority w:val="13"/>
    <w:rsid w:val="008A1715"/>
    <w:pPr>
      <w:numPr>
        <w:numId w:val="6"/>
      </w:numPr>
      <w:tabs>
        <w:tab w:val="left" w:pos="227"/>
      </w:tabs>
      <w:spacing w:before="60" w:after="60" w:line="264" w:lineRule="auto"/>
      <w:ind w:left="357" w:right="0" w:hanging="357"/>
    </w:pPr>
    <w:rPr>
      <w:rFonts w:ascii="Arial" w:eastAsia="Times New Roman" w:hAnsi="Arial" w:cs="Times New Roman"/>
      <w:sz w:val="20"/>
      <w:szCs w:val="20"/>
    </w:rPr>
  </w:style>
  <w:style w:type="table" w:styleId="LightShading-Accent3">
    <w:name w:val="Light Shading Accent 3"/>
    <w:basedOn w:val="TableNormal"/>
    <w:uiPriority w:val="60"/>
    <w:rsid w:val="00B3266B"/>
    <w:rPr>
      <w:color w:val="F07523" w:themeColor="accent3" w:themeShade="BF"/>
    </w:rPr>
    <w:tblPr>
      <w:tblStyleRowBandSize w:val="1"/>
      <w:tblStyleColBandSize w:val="1"/>
      <w:tblBorders>
        <w:top w:val="single" w:sz="8" w:space="0" w:color="F6AC7A" w:themeColor="accent3"/>
        <w:bottom w:val="single" w:sz="8" w:space="0" w:color="F6AC7A" w:themeColor="accent3"/>
      </w:tblBorders>
    </w:tblPr>
    <w:tblStylePr w:type="firstRow">
      <w:pPr>
        <w:spacing w:before="0" w:after="0" w:line="240" w:lineRule="auto"/>
      </w:pPr>
      <w:rPr>
        <w:b/>
        <w:bCs/>
      </w:rPr>
      <w:tblPr/>
      <w:tcPr>
        <w:tcBorders>
          <w:top w:val="single" w:sz="8" w:space="0" w:color="F6AC7A" w:themeColor="accent3"/>
          <w:left w:val="nil"/>
          <w:bottom w:val="single" w:sz="8" w:space="0" w:color="F6AC7A" w:themeColor="accent3"/>
          <w:right w:val="nil"/>
          <w:insideH w:val="nil"/>
          <w:insideV w:val="nil"/>
        </w:tcBorders>
      </w:tcPr>
    </w:tblStylePr>
    <w:tblStylePr w:type="lastRow">
      <w:pPr>
        <w:spacing w:before="0" w:after="0" w:line="240" w:lineRule="auto"/>
      </w:pPr>
      <w:rPr>
        <w:b/>
        <w:bCs/>
      </w:rPr>
      <w:tblPr/>
      <w:tcPr>
        <w:tcBorders>
          <w:top w:val="single" w:sz="8" w:space="0" w:color="F6AC7A" w:themeColor="accent3"/>
          <w:left w:val="nil"/>
          <w:bottom w:val="single" w:sz="8" w:space="0" w:color="F6AC7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ADD" w:themeFill="accent3" w:themeFillTint="3F"/>
      </w:tcPr>
    </w:tblStylePr>
    <w:tblStylePr w:type="band1Horz">
      <w:tblPr/>
      <w:tcPr>
        <w:tcBorders>
          <w:left w:val="nil"/>
          <w:right w:val="nil"/>
          <w:insideH w:val="nil"/>
          <w:insideV w:val="nil"/>
        </w:tcBorders>
        <w:shd w:val="clear" w:color="auto" w:fill="FCEADD" w:themeFill="accent3" w:themeFillTint="3F"/>
      </w:tcPr>
    </w:tblStylePr>
  </w:style>
  <w:style w:type="table" w:styleId="LightShading-Accent2">
    <w:name w:val="Light Shading Accent 2"/>
    <w:basedOn w:val="TableNormal"/>
    <w:uiPriority w:val="60"/>
    <w:rsid w:val="00B3266B"/>
    <w:rPr>
      <w:color w:val="91C4C8" w:themeColor="accent2" w:themeShade="BF"/>
    </w:rPr>
    <w:tblPr>
      <w:tblStyleRowBandSize w:val="1"/>
      <w:tblStyleColBandSize w:val="1"/>
      <w:tblBorders>
        <w:top w:val="single" w:sz="8" w:space="0" w:color="DFEEEF" w:themeColor="accent2"/>
        <w:bottom w:val="single" w:sz="8" w:space="0" w:color="DFEEEF" w:themeColor="accent2"/>
      </w:tblBorders>
    </w:tblPr>
    <w:tblStylePr w:type="firstRow">
      <w:pPr>
        <w:spacing w:before="0" w:after="0" w:line="240" w:lineRule="auto"/>
      </w:pPr>
      <w:rPr>
        <w:b/>
        <w:bCs/>
      </w:rPr>
      <w:tblPr/>
      <w:tcPr>
        <w:tcBorders>
          <w:top w:val="single" w:sz="8" w:space="0" w:color="DFEEEF" w:themeColor="accent2"/>
          <w:left w:val="nil"/>
          <w:bottom w:val="single" w:sz="8" w:space="0" w:color="DFEEEF" w:themeColor="accent2"/>
          <w:right w:val="nil"/>
          <w:insideH w:val="nil"/>
          <w:insideV w:val="nil"/>
        </w:tcBorders>
      </w:tcPr>
    </w:tblStylePr>
    <w:tblStylePr w:type="lastRow">
      <w:pPr>
        <w:spacing w:before="0" w:after="0" w:line="240" w:lineRule="auto"/>
      </w:pPr>
      <w:rPr>
        <w:b/>
        <w:bCs/>
      </w:rPr>
      <w:tblPr/>
      <w:tcPr>
        <w:tcBorders>
          <w:top w:val="single" w:sz="8" w:space="0" w:color="DFEEEF" w:themeColor="accent2"/>
          <w:left w:val="nil"/>
          <w:bottom w:val="single" w:sz="8" w:space="0" w:color="DFEEE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AFB" w:themeFill="accent2" w:themeFillTint="3F"/>
      </w:tcPr>
    </w:tblStylePr>
    <w:tblStylePr w:type="band1Horz">
      <w:tblPr/>
      <w:tcPr>
        <w:tcBorders>
          <w:left w:val="nil"/>
          <w:right w:val="nil"/>
          <w:insideH w:val="nil"/>
          <w:insideV w:val="nil"/>
        </w:tcBorders>
        <w:shd w:val="clear" w:color="auto" w:fill="F7FAFB" w:themeFill="accent2" w:themeFillTint="3F"/>
      </w:tcPr>
    </w:tblStylePr>
  </w:style>
  <w:style w:type="paragraph" w:customStyle="1" w:styleId="ChapterTitle">
    <w:name w:val="Chapter Title"/>
    <w:basedOn w:val="Heading1"/>
    <w:link w:val="ChapterTitleChar"/>
    <w:uiPriority w:val="11"/>
    <w:qFormat/>
    <w:rsid w:val="00573D80"/>
    <w:pPr>
      <w:tabs>
        <w:tab w:val="left" w:pos="567"/>
      </w:tabs>
      <w:spacing w:before="100" w:beforeAutospacing="1" w:line="240" w:lineRule="auto"/>
    </w:pPr>
    <w:rPr>
      <w:sz w:val="60"/>
      <w:szCs w:val="88"/>
    </w:rPr>
  </w:style>
  <w:style w:type="character" w:customStyle="1" w:styleId="ChapterTitleChar">
    <w:name w:val="Chapter Title Char"/>
    <w:basedOn w:val="Heading1Char"/>
    <w:link w:val="ChapterTitle"/>
    <w:uiPriority w:val="11"/>
    <w:rsid w:val="00573D80"/>
    <w:rPr>
      <w:rFonts w:ascii="Arial" w:eastAsiaTheme="majorEastAsia" w:hAnsi="Arial" w:cstheme="majorBidi"/>
      <w:b/>
      <w:sz w:val="60"/>
      <w:szCs w:val="88"/>
    </w:rPr>
  </w:style>
  <w:style w:type="paragraph" w:styleId="Title">
    <w:name w:val="Title"/>
    <w:basedOn w:val="Normal"/>
    <w:next w:val="Normal"/>
    <w:link w:val="TitleChar"/>
    <w:uiPriority w:val="10"/>
    <w:rsid w:val="00F46E03"/>
    <w:pPr>
      <w:spacing w:before="0" w:line="520" w:lineRule="exact"/>
    </w:pPr>
    <w:rPr>
      <w:b/>
      <w:sz w:val="48"/>
      <w:szCs w:val="44"/>
    </w:rPr>
  </w:style>
  <w:style w:type="character" w:customStyle="1" w:styleId="TitleChar">
    <w:name w:val="Title Char"/>
    <w:basedOn w:val="DefaultParagraphFont"/>
    <w:link w:val="Title"/>
    <w:uiPriority w:val="10"/>
    <w:rsid w:val="00F46E03"/>
    <w:rPr>
      <w:b/>
      <w:sz w:val="48"/>
      <w:szCs w:val="44"/>
    </w:rPr>
  </w:style>
  <w:style w:type="table" w:customStyle="1" w:styleId="OPMLightListorBox">
    <w:name w:val="OPM Light List or Box"/>
    <w:basedOn w:val="TableNormal"/>
    <w:uiPriority w:val="61"/>
    <w:rsid w:val="00B3266B"/>
    <w:tblPr>
      <w:tblStyleRowBandSize w:val="1"/>
      <w:tblStyleColBandSize w:val="1"/>
      <w:tblBorders>
        <w:top w:val="single" w:sz="8" w:space="0" w:color="62AEB1" w:themeColor="accent1"/>
        <w:left w:val="single" w:sz="8" w:space="0" w:color="62AEB1" w:themeColor="accent1"/>
        <w:bottom w:val="single" w:sz="8" w:space="0" w:color="62AEB1" w:themeColor="accent1"/>
        <w:right w:val="single" w:sz="8" w:space="0" w:color="62AEB1" w:themeColor="accent1"/>
      </w:tblBorders>
    </w:tblPr>
    <w:tblStylePr w:type="firstRow">
      <w:pPr>
        <w:wordWrap/>
        <w:spacing w:beforeLines="0" w:beforeAutospacing="0" w:afterLines="0" w:afterAutospacing="0" w:line="240" w:lineRule="auto"/>
      </w:pPr>
      <w:rPr>
        <w:b/>
        <w:bCs/>
        <w:color w:val="FBFBFB" w:themeColor="background1"/>
      </w:rPr>
      <w:tblPr/>
      <w:tcPr>
        <w:shd w:val="clear" w:color="auto" w:fill="62AEB1" w:themeFill="accent1"/>
      </w:tcPr>
    </w:tblStylePr>
    <w:tblStylePr w:type="lastRow">
      <w:pPr>
        <w:spacing w:before="0" w:after="0" w:line="240" w:lineRule="auto"/>
      </w:pPr>
      <w:rPr>
        <w:b/>
        <w:bCs/>
      </w:rPr>
      <w:tblPr/>
      <w:tcPr>
        <w:tcBorders>
          <w:top w:val="double" w:sz="6" w:space="0" w:color="62AEB1" w:themeColor="accent1"/>
          <w:left w:val="single" w:sz="8" w:space="0" w:color="62AEB1" w:themeColor="accent1"/>
          <w:bottom w:val="single" w:sz="8" w:space="0" w:color="62AEB1" w:themeColor="accent1"/>
          <w:right w:val="single" w:sz="8" w:space="0" w:color="62AEB1" w:themeColor="accent1"/>
        </w:tcBorders>
      </w:tcPr>
    </w:tblStylePr>
    <w:tblStylePr w:type="firstCol">
      <w:rPr>
        <w:b/>
        <w:bCs/>
      </w:rPr>
    </w:tblStylePr>
    <w:tblStylePr w:type="lastCol">
      <w:rPr>
        <w:b/>
        <w:bCs/>
      </w:rPr>
    </w:tblStylePr>
    <w:tblStylePr w:type="band1Vert">
      <w:tblPr/>
      <w:tcPr>
        <w:tcBorders>
          <w:top w:val="single" w:sz="8" w:space="0" w:color="62AEB1" w:themeColor="accent1"/>
          <w:left w:val="single" w:sz="8" w:space="0" w:color="62AEB1" w:themeColor="accent1"/>
          <w:bottom w:val="single" w:sz="8" w:space="0" w:color="62AEB1" w:themeColor="accent1"/>
          <w:right w:val="single" w:sz="8" w:space="0" w:color="62AEB1" w:themeColor="accent1"/>
        </w:tcBorders>
      </w:tcPr>
    </w:tblStylePr>
    <w:tblStylePr w:type="band1Horz">
      <w:tblPr/>
      <w:tcPr>
        <w:tcBorders>
          <w:top w:val="single" w:sz="8" w:space="0" w:color="62AEB1" w:themeColor="accent1"/>
          <w:left w:val="single" w:sz="8" w:space="0" w:color="62AEB1" w:themeColor="accent1"/>
          <w:bottom w:val="single" w:sz="8" w:space="0" w:color="62AEB1" w:themeColor="accent1"/>
          <w:right w:val="single" w:sz="8" w:space="0" w:color="62AEB1" w:themeColor="accent1"/>
        </w:tcBorders>
      </w:tcPr>
    </w:tblStylePr>
  </w:style>
  <w:style w:type="table" w:styleId="LightList-Accent2">
    <w:name w:val="Light List Accent 2"/>
    <w:basedOn w:val="TableNormal"/>
    <w:uiPriority w:val="61"/>
    <w:rsid w:val="00B3266B"/>
    <w:tblPr>
      <w:tblStyleRowBandSize w:val="1"/>
      <w:tblStyleColBandSize w:val="1"/>
      <w:tblBorders>
        <w:top w:val="single" w:sz="8" w:space="0" w:color="DFEEEF" w:themeColor="accent2"/>
        <w:left w:val="single" w:sz="8" w:space="0" w:color="DFEEEF" w:themeColor="accent2"/>
        <w:bottom w:val="single" w:sz="8" w:space="0" w:color="DFEEEF" w:themeColor="accent2"/>
        <w:right w:val="single" w:sz="8" w:space="0" w:color="DFEEEF" w:themeColor="accent2"/>
      </w:tblBorders>
    </w:tblPr>
    <w:tblStylePr w:type="firstRow">
      <w:pPr>
        <w:spacing w:before="0" w:after="0" w:line="240" w:lineRule="auto"/>
      </w:pPr>
      <w:rPr>
        <w:b/>
        <w:bCs/>
        <w:color w:val="FBFBFB" w:themeColor="background1"/>
      </w:rPr>
      <w:tblPr/>
      <w:tcPr>
        <w:shd w:val="clear" w:color="auto" w:fill="DFEEEF" w:themeFill="accent2"/>
      </w:tcPr>
    </w:tblStylePr>
    <w:tblStylePr w:type="lastRow">
      <w:pPr>
        <w:spacing w:before="0" w:after="0" w:line="240" w:lineRule="auto"/>
      </w:pPr>
      <w:rPr>
        <w:b/>
        <w:bCs/>
      </w:rPr>
      <w:tblPr/>
      <w:tcPr>
        <w:tcBorders>
          <w:top w:val="double" w:sz="6" w:space="0" w:color="DFEEEF" w:themeColor="accent2"/>
          <w:left w:val="single" w:sz="8" w:space="0" w:color="DFEEEF" w:themeColor="accent2"/>
          <w:bottom w:val="single" w:sz="8" w:space="0" w:color="DFEEEF" w:themeColor="accent2"/>
          <w:right w:val="single" w:sz="8" w:space="0" w:color="DFEEEF" w:themeColor="accent2"/>
        </w:tcBorders>
      </w:tcPr>
    </w:tblStylePr>
    <w:tblStylePr w:type="firstCol">
      <w:rPr>
        <w:b/>
        <w:bCs/>
      </w:rPr>
    </w:tblStylePr>
    <w:tblStylePr w:type="lastCol">
      <w:rPr>
        <w:b/>
        <w:bCs/>
      </w:rPr>
    </w:tblStylePr>
    <w:tblStylePr w:type="band1Vert">
      <w:tblPr/>
      <w:tcPr>
        <w:tcBorders>
          <w:top w:val="single" w:sz="8" w:space="0" w:color="DFEEEF" w:themeColor="accent2"/>
          <w:left w:val="single" w:sz="8" w:space="0" w:color="DFEEEF" w:themeColor="accent2"/>
          <w:bottom w:val="single" w:sz="8" w:space="0" w:color="DFEEEF" w:themeColor="accent2"/>
          <w:right w:val="single" w:sz="8" w:space="0" w:color="DFEEEF" w:themeColor="accent2"/>
        </w:tcBorders>
      </w:tcPr>
    </w:tblStylePr>
    <w:tblStylePr w:type="band1Horz">
      <w:tblPr/>
      <w:tcPr>
        <w:tcBorders>
          <w:top w:val="single" w:sz="8" w:space="0" w:color="DFEEEF" w:themeColor="accent2"/>
          <w:left w:val="single" w:sz="8" w:space="0" w:color="DFEEEF" w:themeColor="accent2"/>
          <w:bottom w:val="single" w:sz="8" w:space="0" w:color="DFEEEF" w:themeColor="accent2"/>
          <w:right w:val="single" w:sz="8" w:space="0" w:color="DFEEEF" w:themeColor="accent2"/>
        </w:tcBorders>
      </w:tcPr>
    </w:tblStylePr>
  </w:style>
  <w:style w:type="paragraph" w:styleId="TOC4">
    <w:name w:val="toc 4"/>
    <w:basedOn w:val="Normal"/>
    <w:next w:val="Normal"/>
    <w:autoRedefine/>
    <w:uiPriority w:val="39"/>
    <w:unhideWhenUsed/>
    <w:rsid w:val="00B3266B"/>
    <w:pPr>
      <w:tabs>
        <w:tab w:val="right" w:leader="dot" w:pos="7830"/>
      </w:tabs>
      <w:spacing w:before="0" w:after="60" w:line="270" w:lineRule="exact"/>
      <w:ind w:left="567"/>
    </w:pPr>
    <w:rPr>
      <w:color w:val="3E3E3E" w:themeColor="background1" w:themeShade="40"/>
      <w:sz w:val="21"/>
    </w:rPr>
  </w:style>
  <w:style w:type="character" w:styleId="FollowedHyperlink">
    <w:name w:val="FollowedHyperlink"/>
    <w:basedOn w:val="DefaultParagraphFont"/>
    <w:uiPriority w:val="99"/>
    <w:semiHidden/>
    <w:unhideWhenUsed/>
    <w:rsid w:val="00B3266B"/>
    <w:rPr>
      <w:color w:val="62AEB1" w:themeColor="followedHyperlink"/>
      <w:u w:val="single"/>
    </w:rPr>
  </w:style>
  <w:style w:type="table" w:customStyle="1" w:styleId="LightShading1">
    <w:name w:val="Light Shading1"/>
    <w:aliases w:val="OPM Light Shading"/>
    <w:basedOn w:val="TableNormal"/>
    <w:uiPriority w:val="60"/>
    <w:rsid w:val="00B3266B"/>
    <w:rPr>
      <w:color w:val="006869" w:themeColor="text1" w:themeShade="BF"/>
    </w:rPr>
    <w:tblPr>
      <w:tblStyleRowBandSize w:val="1"/>
      <w:tblStyleColBandSize w:val="1"/>
      <w:tblBorders>
        <w:top w:val="single" w:sz="8" w:space="0" w:color="008C8D" w:themeColor="text1"/>
        <w:bottom w:val="single" w:sz="8" w:space="0" w:color="008C8D" w:themeColor="text1"/>
      </w:tblBorders>
    </w:tblPr>
    <w:tcPr>
      <w:vAlign w:val="center"/>
    </w:tcPr>
    <w:tblStylePr w:type="firstRow">
      <w:pPr>
        <w:spacing w:before="0" w:after="0" w:line="240" w:lineRule="auto"/>
      </w:pPr>
      <w:rPr>
        <w:b/>
        <w:bCs/>
      </w:rPr>
      <w:tblPr/>
      <w:tcPr>
        <w:tcBorders>
          <w:top w:val="single" w:sz="8" w:space="0" w:color="008C8D" w:themeColor="text1"/>
          <w:left w:val="nil"/>
          <w:bottom w:val="single" w:sz="8" w:space="0" w:color="008C8D" w:themeColor="text1"/>
          <w:right w:val="nil"/>
          <w:insideH w:val="nil"/>
          <w:insideV w:val="nil"/>
        </w:tcBorders>
      </w:tcPr>
    </w:tblStylePr>
    <w:tblStylePr w:type="lastRow">
      <w:pPr>
        <w:spacing w:before="0" w:after="0" w:line="240" w:lineRule="auto"/>
      </w:pPr>
      <w:rPr>
        <w:b/>
        <w:bCs/>
      </w:rPr>
      <w:tblPr/>
      <w:tcPr>
        <w:tcBorders>
          <w:top w:val="single" w:sz="8" w:space="0" w:color="008C8D" w:themeColor="text1"/>
          <w:left w:val="nil"/>
          <w:bottom w:val="single" w:sz="8" w:space="0" w:color="008C8D" w:themeColor="text1"/>
          <w:right w:val="nil"/>
          <w:insideH w:val="nil"/>
          <w:insideV w:val="nil"/>
        </w:tcBorders>
      </w:tcPr>
    </w:tblStylePr>
    <w:tblStylePr w:type="firstCol">
      <w:rPr>
        <w:b/>
        <w:bCs/>
      </w:rPr>
    </w:tblStylePr>
    <w:tblStylePr w:type="lastCol">
      <w:rPr>
        <w:b/>
        <w:bCs/>
      </w:rPr>
    </w:tblStylePr>
    <w:tblStylePr w:type="band1Horz">
      <w:tblPr/>
      <w:tcPr>
        <w:tcBorders>
          <w:top w:val="nil"/>
          <w:left w:val="nil"/>
          <w:bottom w:val="nil"/>
          <w:right w:val="nil"/>
          <w:insideH w:val="nil"/>
          <w:insideV w:val="nil"/>
          <w:tl2br w:val="nil"/>
          <w:tr2bl w:val="nil"/>
        </w:tcBorders>
        <w:shd w:val="clear" w:color="auto" w:fill="DFEEEF" w:themeFill="accent2"/>
      </w:tcPr>
    </w:tblStylePr>
  </w:style>
  <w:style w:type="table" w:customStyle="1" w:styleId="OPMgridwith10pttext">
    <w:name w:val="OPM grid with 10pt text"/>
    <w:basedOn w:val="TableNormal"/>
    <w:uiPriority w:val="99"/>
    <w:qFormat/>
    <w:rsid w:val="00B3266B"/>
    <w:rPr>
      <w:sz w:val="20"/>
    </w:rPr>
    <w:tblPr>
      <w:tblBorders>
        <w:top w:val="single" w:sz="6" w:space="0" w:color="62AEB1" w:themeColor="accent1"/>
        <w:left w:val="single" w:sz="6" w:space="0" w:color="62AEB1" w:themeColor="accent1"/>
        <w:bottom w:val="single" w:sz="6" w:space="0" w:color="62AEB1" w:themeColor="accent1"/>
        <w:right w:val="single" w:sz="6" w:space="0" w:color="62AEB1" w:themeColor="accent1"/>
        <w:insideH w:val="single" w:sz="6" w:space="0" w:color="62AEB1" w:themeColor="accent1"/>
        <w:insideV w:val="single" w:sz="6" w:space="0" w:color="62AEB1" w:themeColor="accent1"/>
      </w:tblBorders>
    </w:tblPr>
    <w:tblStylePr w:type="firstRow">
      <w:rPr>
        <w:b/>
      </w:rPr>
    </w:tblStylePr>
  </w:style>
  <w:style w:type="table" w:customStyle="1" w:styleId="noborders">
    <w:name w:val="no borders"/>
    <w:aliases w:val="invisible"/>
    <w:basedOn w:val="TableNormal"/>
    <w:uiPriority w:val="99"/>
    <w:qFormat/>
    <w:rsid w:val="00B3266B"/>
    <w:tblPr/>
  </w:style>
  <w:style w:type="paragraph" w:styleId="NormalWeb">
    <w:name w:val="Normal (Web)"/>
    <w:basedOn w:val="Normal"/>
    <w:uiPriority w:val="99"/>
    <w:unhideWhenUsed/>
    <w:rsid w:val="00B3266B"/>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unhideWhenUsed/>
    <w:rsid w:val="00B3266B"/>
    <w:rPr>
      <w:sz w:val="16"/>
      <w:szCs w:val="16"/>
    </w:rPr>
  </w:style>
  <w:style w:type="paragraph" w:styleId="CommentText">
    <w:name w:val="annotation text"/>
    <w:basedOn w:val="Normal"/>
    <w:link w:val="CommentTextChar"/>
    <w:uiPriority w:val="99"/>
    <w:unhideWhenUsed/>
    <w:rsid w:val="00B3266B"/>
    <w:rPr>
      <w:sz w:val="20"/>
      <w:szCs w:val="20"/>
    </w:rPr>
  </w:style>
  <w:style w:type="character" w:customStyle="1" w:styleId="CommentTextChar">
    <w:name w:val="Comment Text Char"/>
    <w:basedOn w:val="DefaultParagraphFont"/>
    <w:link w:val="CommentText"/>
    <w:uiPriority w:val="99"/>
    <w:rsid w:val="00B3266B"/>
    <w:rPr>
      <w:sz w:val="20"/>
      <w:szCs w:val="20"/>
    </w:rPr>
  </w:style>
  <w:style w:type="paragraph" w:styleId="CommentSubject">
    <w:name w:val="annotation subject"/>
    <w:basedOn w:val="CommentText"/>
    <w:next w:val="CommentText"/>
    <w:link w:val="CommentSubjectChar"/>
    <w:uiPriority w:val="99"/>
    <w:semiHidden/>
    <w:unhideWhenUsed/>
    <w:rsid w:val="00B3266B"/>
    <w:rPr>
      <w:b/>
      <w:bCs/>
    </w:rPr>
  </w:style>
  <w:style w:type="character" w:customStyle="1" w:styleId="CommentSubjectChar">
    <w:name w:val="Comment Subject Char"/>
    <w:basedOn w:val="CommentTextChar"/>
    <w:link w:val="CommentSubject"/>
    <w:uiPriority w:val="99"/>
    <w:semiHidden/>
    <w:rsid w:val="00B3266B"/>
    <w:rPr>
      <w:b/>
      <w:bCs/>
      <w:sz w:val="20"/>
      <w:szCs w:val="20"/>
    </w:rPr>
  </w:style>
  <w:style w:type="table" w:styleId="LightShading-Accent1">
    <w:name w:val="Light Shading Accent 1"/>
    <w:basedOn w:val="TableNormal"/>
    <w:uiPriority w:val="60"/>
    <w:rsid w:val="00B3266B"/>
    <w:rPr>
      <w:color w:val="448689" w:themeColor="accent1" w:themeShade="BF"/>
    </w:rPr>
    <w:tblPr>
      <w:tblStyleRowBandSize w:val="1"/>
      <w:tblStyleColBandSize w:val="1"/>
      <w:tblBorders>
        <w:top w:val="single" w:sz="8" w:space="0" w:color="62AEB1" w:themeColor="accent1"/>
        <w:bottom w:val="single" w:sz="8" w:space="0" w:color="62AEB1" w:themeColor="accent1"/>
      </w:tblBorders>
    </w:tblPr>
    <w:tblStylePr w:type="firstRow">
      <w:pPr>
        <w:spacing w:before="0" w:after="0" w:line="240" w:lineRule="auto"/>
      </w:pPr>
      <w:rPr>
        <w:b/>
        <w:bCs/>
      </w:rPr>
      <w:tblPr/>
      <w:tcPr>
        <w:tcBorders>
          <w:top w:val="single" w:sz="8" w:space="0" w:color="62AEB1" w:themeColor="accent1"/>
          <w:left w:val="nil"/>
          <w:bottom w:val="single" w:sz="8" w:space="0" w:color="62AEB1" w:themeColor="accent1"/>
          <w:right w:val="nil"/>
          <w:insideH w:val="nil"/>
          <w:insideV w:val="nil"/>
        </w:tcBorders>
      </w:tcPr>
    </w:tblStylePr>
    <w:tblStylePr w:type="lastRow">
      <w:pPr>
        <w:spacing w:before="0" w:after="0" w:line="240" w:lineRule="auto"/>
      </w:pPr>
      <w:rPr>
        <w:b/>
        <w:bCs/>
      </w:rPr>
      <w:tblPr/>
      <w:tcPr>
        <w:tcBorders>
          <w:top w:val="single" w:sz="8" w:space="0" w:color="62AEB1" w:themeColor="accent1"/>
          <w:left w:val="nil"/>
          <w:bottom w:val="single" w:sz="8" w:space="0" w:color="62AEB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AEB" w:themeFill="accent1" w:themeFillTint="3F"/>
      </w:tcPr>
    </w:tblStylePr>
    <w:tblStylePr w:type="band1Horz">
      <w:tblPr/>
      <w:tcPr>
        <w:tcBorders>
          <w:left w:val="nil"/>
          <w:right w:val="nil"/>
          <w:insideH w:val="nil"/>
          <w:insideV w:val="nil"/>
        </w:tcBorders>
        <w:shd w:val="clear" w:color="auto" w:fill="D8EAEB" w:themeFill="accent1" w:themeFillTint="3F"/>
      </w:tcPr>
    </w:tblStylePr>
  </w:style>
  <w:style w:type="paragraph" w:styleId="EndnoteText">
    <w:name w:val="endnote text"/>
    <w:basedOn w:val="Normal"/>
    <w:link w:val="EndnoteTextChar"/>
    <w:uiPriority w:val="99"/>
    <w:unhideWhenUsed/>
    <w:qFormat/>
    <w:rsid w:val="00AA0F3D"/>
    <w:pPr>
      <w:spacing w:before="0" w:after="0"/>
    </w:pPr>
    <w:rPr>
      <w:szCs w:val="20"/>
    </w:rPr>
  </w:style>
  <w:style w:type="character" w:customStyle="1" w:styleId="EndnoteTextChar">
    <w:name w:val="Endnote Text Char"/>
    <w:basedOn w:val="DefaultParagraphFont"/>
    <w:link w:val="EndnoteText"/>
    <w:uiPriority w:val="99"/>
    <w:rsid w:val="00AA0F3D"/>
    <w:rPr>
      <w:sz w:val="28"/>
      <w:szCs w:val="20"/>
    </w:rPr>
  </w:style>
  <w:style w:type="character" w:styleId="EndnoteReference">
    <w:name w:val="endnote reference"/>
    <w:basedOn w:val="DefaultParagraphFont"/>
    <w:uiPriority w:val="99"/>
    <w:semiHidden/>
    <w:unhideWhenUsed/>
    <w:rsid w:val="00321E9B"/>
    <w:rPr>
      <w:rFonts w:ascii="Arial" w:hAnsi="Arial"/>
      <w:sz w:val="28"/>
      <w:vertAlign w:val="baseline"/>
    </w:rPr>
  </w:style>
  <w:style w:type="paragraph" w:customStyle="1" w:styleId="whitetextforhighlightbox">
    <w:name w:val="white text for highlight box"/>
    <w:link w:val="whitetextforhighlightboxChar"/>
    <w:uiPriority w:val="9"/>
    <w:qFormat/>
    <w:rsid w:val="00683147"/>
    <w:pPr>
      <w:spacing w:after="360"/>
    </w:pPr>
    <w:rPr>
      <w:color w:val="FBFBFB" w:themeColor="background1"/>
      <w:sz w:val="20"/>
    </w:rPr>
  </w:style>
  <w:style w:type="character" w:customStyle="1" w:styleId="whitetextforhighlightboxChar">
    <w:name w:val="white text for highlight box Char"/>
    <w:basedOn w:val="DefaultParagraphFont"/>
    <w:link w:val="whitetextforhighlightbox"/>
    <w:uiPriority w:val="9"/>
    <w:rsid w:val="00683147"/>
    <w:rPr>
      <w:color w:val="FBFBFB" w:themeColor="background1"/>
      <w:sz w:val="20"/>
    </w:rPr>
  </w:style>
  <w:style w:type="character" w:customStyle="1" w:styleId="ListBullet3Char">
    <w:name w:val="List Bullet 3 Char"/>
    <w:basedOn w:val="ListBullet2Char"/>
    <w:link w:val="ListBullet3"/>
    <w:uiPriority w:val="7"/>
    <w:rsid w:val="007565EB"/>
    <w:rPr>
      <w:sz w:val="28"/>
    </w:rPr>
  </w:style>
  <w:style w:type="character" w:customStyle="1" w:styleId="ListNumber2Char">
    <w:name w:val="List Number 2 Char"/>
    <w:basedOn w:val="DefaultParagraphFont"/>
    <w:link w:val="ListNumber2"/>
    <w:uiPriority w:val="9"/>
    <w:rsid w:val="00683147"/>
    <w:rPr>
      <w:sz w:val="28"/>
    </w:rPr>
  </w:style>
  <w:style w:type="character" w:customStyle="1" w:styleId="ListNumber3Char">
    <w:name w:val="List Number 3 Char"/>
    <w:basedOn w:val="DefaultParagraphFont"/>
    <w:link w:val="ListNumber3"/>
    <w:uiPriority w:val="10"/>
    <w:rsid w:val="008A1715"/>
    <w:rPr>
      <w:sz w:val="28"/>
    </w:rPr>
  </w:style>
  <w:style w:type="character" w:customStyle="1" w:styleId="ListNumberChar">
    <w:name w:val="List Number Char"/>
    <w:aliases w:val="List Number 1 Char"/>
    <w:basedOn w:val="DefaultParagraphFont"/>
    <w:link w:val="ListNumber"/>
    <w:uiPriority w:val="8"/>
    <w:rsid w:val="00683147"/>
    <w:rPr>
      <w:sz w:val="28"/>
    </w:rPr>
  </w:style>
  <w:style w:type="character" w:customStyle="1" w:styleId="Small10ptlistbulletChar">
    <w:name w:val="Small (10pt) list bullet Char"/>
    <w:basedOn w:val="ListBulletChar"/>
    <w:link w:val="Small10ptlistbullet"/>
    <w:uiPriority w:val="13"/>
    <w:rsid w:val="008A1715"/>
    <w:rPr>
      <w:rFonts w:ascii="Arial" w:eastAsia="Times New Roman" w:hAnsi="Arial" w:cs="Times New Roman"/>
      <w:sz w:val="20"/>
      <w:szCs w:val="20"/>
    </w:rPr>
  </w:style>
  <w:style w:type="character" w:customStyle="1" w:styleId="Smalltext10ptChar">
    <w:name w:val="Small text (10pt) Char"/>
    <w:basedOn w:val="DefaultParagraphFont"/>
    <w:link w:val="Smalltext10pt"/>
    <w:uiPriority w:val="12"/>
    <w:rsid w:val="00B3266B"/>
    <w:rPr>
      <w:sz w:val="20"/>
      <w:szCs w:val="20"/>
    </w:rPr>
  </w:style>
  <w:style w:type="numbering" w:customStyle="1" w:styleId="Styletypelist">
    <w:name w:val="Style type list"/>
    <w:basedOn w:val="NoList"/>
    <w:uiPriority w:val="99"/>
    <w:rsid w:val="00B3266B"/>
    <w:pPr>
      <w:numPr>
        <w:numId w:val="7"/>
      </w:numPr>
    </w:pPr>
  </w:style>
  <w:style w:type="character" w:styleId="SubtleReference">
    <w:name w:val="Subtle Reference"/>
    <w:basedOn w:val="DefaultParagraphFont"/>
    <w:uiPriority w:val="31"/>
    <w:qFormat/>
    <w:rsid w:val="00683147"/>
    <w:rPr>
      <w:smallCaps/>
      <w:color w:val="62AEB1" w:themeColor="accent1"/>
    </w:rPr>
  </w:style>
  <w:style w:type="paragraph" w:styleId="Header">
    <w:name w:val="header"/>
    <w:basedOn w:val="Normal"/>
    <w:link w:val="HeaderChar"/>
    <w:uiPriority w:val="99"/>
    <w:unhideWhenUsed/>
    <w:rsid w:val="00BA0A3B"/>
    <w:pPr>
      <w:tabs>
        <w:tab w:val="center" w:pos="4513"/>
        <w:tab w:val="right" w:pos="9026"/>
      </w:tabs>
      <w:spacing w:before="0" w:after="0"/>
    </w:pPr>
  </w:style>
  <w:style w:type="character" w:customStyle="1" w:styleId="HeaderChar">
    <w:name w:val="Header Char"/>
    <w:basedOn w:val="DefaultParagraphFont"/>
    <w:link w:val="Header"/>
    <w:uiPriority w:val="99"/>
    <w:rsid w:val="00BA0A3B"/>
  </w:style>
  <w:style w:type="paragraph" w:styleId="Footer">
    <w:name w:val="footer"/>
    <w:basedOn w:val="Normal"/>
    <w:link w:val="FooterChar"/>
    <w:uiPriority w:val="99"/>
    <w:unhideWhenUsed/>
    <w:rsid w:val="00BA0A3B"/>
    <w:pPr>
      <w:tabs>
        <w:tab w:val="center" w:pos="4513"/>
        <w:tab w:val="right" w:pos="9026"/>
      </w:tabs>
      <w:spacing w:before="0" w:after="0"/>
    </w:pPr>
  </w:style>
  <w:style w:type="character" w:customStyle="1" w:styleId="FooterChar">
    <w:name w:val="Footer Char"/>
    <w:basedOn w:val="DefaultParagraphFont"/>
    <w:link w:val="Footer"/>
    <w:uiPriority w:val="99"/>
    <w:rsid w:val="00BA0A3B"/>
  </w:style>
  <w:style w:type="paragraph" w:styleId="BodyText">
    <w:name w:val="Body Text"/>
    <w:link w:val="BodyTextChar"/>
    <w:rsid w:val="005B7651"/>
    <w:pPr>
      <w:spacing w:before="120" w:after="120" w:line="264" w:lineRule="auto"/>
    </w:pPr>
    <w:rPr>
      <w:rFonts w:ascii="Arial" w:eastAsia="Times New Roman" w:hAnsi="Arial" w:cs="Times New Roman"/>
    </w:rPr>
  </w:style>
  <w:style w:type="character" w:customStyle="1" w:styleId="BodyTextChar">
    <w:name w:val="Body Text Char"/>
    <w:basedOn w:val="DefaultParagraphFont"/>
    <w:link w:val="BodyText"/>
    <w:rsid w:val="005B7651"/>
    <w:rPr>
      <w:rFonts w:ascii="Arial" w:eastAsia="Times New Roman" w:hAnsi="Arial" w:cs="Times New Roman"/>
    </w:rPr>
  </w:style>
  <w:style w:type="character" w:customStyle="1" w:styleId="FootnoteTextChar1">
    <w:name w:val="Footnote Text Char1"/>
    <w:aliases w:val="Char5 Char,Footnote Text Char Char Char"/>
    <w:rsid w:val="005B7651"/>
    <w:rPr>
      <w:rFonts w:ascii="Arial" w:hAnsi="Arial"/>
      <w:color w:val="000000"/>
      <w:lang w:val="en-GB" w:eastAsia="en-US" w:bidi="ar-SA"/>
    </w:rPr>
  </w:style>
  <w:style w:type="paragraph" w:styleId="IntenseQuote">
    <w:name w:val="Intense Quote"/>
    <w:basedOn w:val="Normal"/>
    <w:next w:val="Normal"/>
    <w:link w:val="IntenseQuoteChar"/>
    <w:uiPriority w:val="30"/>
    <w:qFormat/>
    <w:rsid w:val="00216F51"/>
    <w:pPr>
      <w:pBdr>
        <w:bottom w:val="single" w:sz="4" w:space="4" w:color="62AEB1" w:themeColor="accent1"/>
      </w:pBdr>
      <w:spacing w:before="200" w:after="280"/>
      <w:ind w:left="936" w:right="936"/>
    </w:pPr>
    <w:rPr>
      <w:b/>
      <w:bCs/>
      <w:i/>
      <w:iCs/>
      <w:color w:val="62AEB1" w:themeColor="accent1"/>
    </w:rPr>
  </w:style>
  <w:style w:type="character" w:customStyle="1" w:styleId="IntenseQuoteChar">
    <w:name w:val="Intense Quote Char"/>
    <w:basedOn w:val="DefaultParagraphFont"/>
    <w:link w:val="IntenseQuote"/>
    <w:uiPriority w:val="30"/>
    <w:rsid w:val="00216F51"/>
    <w:rPr>
      <w:b/>
      <w:bCs/>
      <w:i/>
      <w:iCs/>
      <w:color w:val="62AEB1" w:themeColor="accent1"/>
    </w:rPr>
  </w:style>
  <w:style w:type="paragraph" w:styleId="Revision">
    <w:name w:val="Revision"/>
    <w:hidden/>
    <w:uiPriority w:val="99"/>
    <w:semiHidden/>
    <w:rsid w:val="00E328DE"/>
  </w:style>
  <w:style w:type="paragraph" w:styleId="PlainText">
    <w:name w:val="Plain Text"/>
    <w:basedOn w:val="Normal"/>
    <w:link w:val="PlainTextChar"/>
    <w:uiPriority w:val="99"/>
    <w:semiHidden/>
    <w:unhideWhenUsed/>
    <w:rsid w:val="009A1F36"/>
    <w:pPr>
      <w:spacing w:before="0" w:after="0"/>
    </w:pPr>
    <w:rPr>
      <w:rFonts w:ascii="Calibri" w:hAnsi="Calibri"/>
      <w:szCs w:val="21"/>
    </w:rPr>
  </w:style>
  <w:style w:type="character" w:customStyle="1" w:styleId="PlainTextChar">
    <w:name w:val="Plain Text Char"/>
    <w:basedOn w:val="DefaultParagraphFont"/>
    <w:link w:val="PlainText"/>
    <w:uiPriority w:val="99"/>
    <w:semiHidden/>
    <w:rsid w:val="009A1F36"/>
    <w:rPr>
      <w:rFonts w:ascii="Calibri" w:hAnsi="Calibri"/>
      <w:szCs w:val="21"/>
    </w:rPr>
  </w:style>
  <w:style w:type="character" w:customStyle="1" w:styleId="UnresolvedMention1">
    <w:name w:val="Unresolved Mention1"/>
    <w:basedOn w:val="DefaultParagraphFont"/>
    <w:uiPriority w:val="99"/>
    <w:semiHidden/>
    <w:unhideWhenUsed/>
    <w:rsid w:val="00321E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809">
      <w:bodyDiv w:val="1"/>
      <w:marLeft w:val="0"/>
      <w:marRight w:val="0"/>
      <w:marTop w:val="0"/>
      <w:marBottom w:val="0"/>
      <w:divBdr>
        <w:top w:val="none" w:sz="0" w:space="0" w:color="auto"/>
        <w:left w:val="none" w:sz="0" w:space="0" w:color="auto"/>
        <w:bottom w:val="none" w:sz="0" w:space="0" w:color="auto"/>
        <w:right w:val="none" w:sz="0" w:space="0" w:color="auto"/>
      </w:divBdr>
    </w:div>
    <w:div w:id="57411572">
      <w:bodyDiv w:val="1"/>
      <w:marLeft w:val="0"/>
      <w:marRight w:val="0"/>
      <w:marTop w:val="0"/>
      <w:marBottom w:val="0"/>
      <w:divBdr>
        <w:top w:val="none" w:sz="0" w:space="0" w:color="auto"/>
        <w:left w:val="none" w:sz="0" w:space="0" w:color="auto"/>
        <w:bottom w:val="none" w:sz="0" w:space="0" w:color="auto"/>
        <w:right w:val="none" w:sz="0" w:space="0" w:color="auto"/>
      </w:divBdr>
    </w:div>
    <w:div w:id="109980401">
      <w:bodyDiv w:val="1"/>
      <w:marLeft w:val="0"/>
      <w:marRight w:val="0"/>
      <w:marTop w:val="0"/>
      <w:marBottom w:val="0"/>
      <w:divBdr>
        <w:top w:val="none" w:sz="0" w:space="0" w:color="auto"/>
        <w:left w:val="none" w:sz="0" w:space="0" w:color="auto"/>
        <w:bottom w:val="none" w:sz="0" w:space="0" w:color="auto"/>
        <w:right w:val="none" w:sz="0" w:space="0" w:color="auto"/>
      </w:divBdr>
    </w:div>
    <w:div w:id="143157933">
      <w:bodyDiv w:val="1"/>
      <w:marLeft w:val="0"/>
      <w:marRight w:val="0"/>
      <w:marTop w:val="0"/>
      <w:marBottom w:val="0"/>
      <w:divBdr>
        <w:top w:val="none" w:sz="0" w:space="0" w:color="auto"/>
        <w:left w:val="none" w:sz="0" w:space="0" w:color="auto"/>
        <w:bottom w:val="none" w:sz="0" w:space="0" w:color="auto"/>
        <w:right w:val="none" w:sz="0" w:space="0" w:color="auto"/>
      </w:divBdr>
    </w:div>
    <w:div w:id="162671742">
      <w:bodyDiv w:val="1"/>
      <w:marLeft w:val="0"/>
      <w:marRight w:val="0"/>
      <w:marTop w:val="0"/>
      <w:marBottom w:val="0"/>
      <w:divBdr>
        <w:top w:val="none" w:sz="0" w:space="0" w:color="auto"/>
        <w:left w:val="none" w:sz="0" w:space="0" w:color="auto"/>
        <w:bottom w:val="none" w:sz="0" w:space="0" w:color="auto"/>
        <w:right w:val="none" w:sz="0" w:space="0" w:color="auto"/>
      </w:divBdr>
    </w:div>
    <w:div w:id="206571082">
      <w:bodyDiv w:val="1"/>
      <w:marLeft w:val="0"/>
      <w:marRight w:val="0"/>
      <w:marTop w:val="0"/>
      <w:marBottom w:val="0"/>
      <w:divBdr>
        <w:top w:val="none" w:sz="0" w:space="0" w:color="auto"/>
        <w:left w:val="none" w:sz="0" w:space="0" w:color="auto"/>
        <w:bottom w:val="none" w:sz="0" w:space="0" w:color="auto"/>
        <w:right w:val="none" w:sz="0" w:space="0" w:color="auto"/>
      </w:divBdr>
    </w:div>
    <w:div w:id="210003304">
      <w:bodyDiv w:val="1"/>
      <w:marLeft w:val="0"/>
      <w:marRight w:val="0"/>
      <w:marTop w:val="0"/>
      <w:marBottom w:val="0"/>
      <w:divBdr>
        <w:top w:val="none" w:sz="0" w:space="0" w:color="auto"/>
        <w:left w:val="none" w:sz="0" w:space="0" w:color="auto"/>
        <w:bottom w:val="none" w:sz="0" w:space="0" w:color="auto"/>
        <w:right w:val="none" w:sz="0" w:space="0" w:color="auto"/>
      </w:divBdr>
    </w:div>
    <w:div w:id="236790801">
      <w:bodyDiv w:val="1"/>
      <w:marLeft w:val="0"/>
      <w:marRight w:val="0"/>
      <w:marTop w:val="0"/>
      <w:marBottom w:val="0"/>
      <w:divBdr>
        <w:top w:val="none" w:sz="0" w:space="0" w:color="auto"/>
        <w:left w:val="none" w:sz="0" w:space="0" w:color="auto"/>
        <w:bottom w:val="none" w:sz="0" w:space="0" w:color="auto"/>
        <w:right w:val="none" w:sz="0" w:space="0" w:color="auto"/>
      </w:divBdr>
    </w:div>
    <w:div w:id="260720290">
      <w:bodyDiv w:val="1"/>
      <w:marLeft w:val="0"/>
      <w:marRight w:val="0"/>
      <w:marTop w:val="0"/>
      <w:marBottom w:val="0"/>
      <w:divBdr>
        <w:top w:val="none" w:sz="0" w:space="0" w:color="auto"/>
        <w:left w:val="none" w:sz="0" w:space="0" w:color="auto"/>
        <w:bottom w:val="none" w:sz="0" w:space="0" w:color="auto"/>
        <w:right w:val="none" w:sz="0" w:space="0" w:color="auto"/>
      </w:divBdr>
    </w:div>
    <w:div w:id="311444865">
      <w:bodyDiv w:val="1"/>
      <w:marLeft w:val="0"/>
      <w:marRight w:val="0"/>
      <w:marTop w:val="0"/>
      <w:marBottom w:val="0"/>
      <w:divBdr>
        <w:top w:val="none" w:sz="0" w:space="0" w:color="auto"/>
        <w:left w:val="none" w:sz="0" w:space="0" w:color="auto"/>
        <w:bottom w:val="none" w:sz="0" w:space="0" w:color="auto"/>
        <w:right w:val="none" w:sz="0" w:space="0" w:color="auto"/>
      </w:divBdr>
      <w:divsChild>
        <w:div w:id="83495065">
          <w:marLeft w:val="0"/>
          <w:marRight w:val="0"/>
          <w:marTop w:val="0"/>
          <w:marBottom w:val="225"/>
          <w:divBdr>
            <w:top w:val="none" w:sz="0" w:space="0" w:color="auto"/>
            <w:left w:val="none" w:sz="0" w:space="0" w:color="auto"/>
            <w:bottom w:val="none" w:sz="0" w:space="0" w:color="auto"/>
            <w:right w:val="none" w:sz="0" w:space="0" w:color="auto"/>
          </w:divBdr>
        </w:div>
        <w:div w:id="149294205">
          <w:marLeft w:val="0"/>
          <w:marRight w:val="150"/>
          <w:marTop w:val="0"/>
          <w:marBottom w:val="0"/>
          <w:divBdr>
            <w:top w:val="none" w:sz="0" w:space="0" w:color="auto"/>
            <w:left w:val="none" w:sz="0" w:space="0" w:color="auto"/>
            <w:bottom w:val="none" w:sz="0" w:space="0" w:color="auto"/>
            <w:right w:val="none" w:sz="0" w:space="0" w:color="auto"/>
          </w:divBdr>
          <w:divsChild>
            <w:div w:id="989750176">
              <w:marLeft w:val="0"/>
              <w:marRight w:val="0"/>
              <w:marTop w:val="0"/>
              <w:marBottom w:val="0"/>
              <w:divBdr>
                <w:top w:val="none" w:sz="0" w:space="0" w:color="auto"/>
                <w:left w:val="none" w:sz="0" w:space="0" w:color="auto"/>
                <w:bottom w:val="none" w:sz="0" w:space="0" w:color="auto"/>
                <w:right w:val="none" w:sz="0" w:space="0" w:color="auto"/>
              </w:divBdr>
              <w:divsChild>
                <w:div w:id="320930617">
                  <w:marLeft w:val="0"/>
                  <w:marRight w:val="0"/>
                  <w:marTop w:val="0"/>
                  <w:marBottom w:val="600"/>
                  <w:divBdr>
                    <w:top w:val="none" w:sz="0" w:space="0" w:color="auto"/>
                    <w:left w:val="none" w:sz="0" w:space="0" w:color="auto"/>
                    <w:bottom w:val="none" w:sz="0" w:space="0" w:color="auto"/>
                    <w:right w:val="none" w:sz="0" w:space="0" w:color="auto"/>
                  </w:divBdr>
                  <w:divsChild>
                    <w:div w:id="165780279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337319414">
      <w:bodyDiv w:val="1"/>
      <w:marLeft w:val="0"/>
      <w:marRight w:val="0"/>
      <w:marTop w:val="0"/>
      <w:marBottom w:val="0"/>
      <w:divBdr>
        <w:top w:val="none" w:sz="0" w:space="0" w:color="auto"/>
        <w:left w:val="none" w:sz="0" w:space="0" w:color="auto"/>
        <w:bottom w:val="none" w:sz="0" w:space="0" w:color="auto"/>
        <w:right w:val="none" w:sz="0" w:space="0" w:color="auto"/>
      </w:divBdr>
    </w:div>
    <w:div w:id="337390703">
      <w:bodyDiv w:val="1"/>
      <w:marLeft w:val="0"/>
      <w:marRight w:val="0"/>
      <w:marTop w:val="0"/>
      <w:marBottom w:val="0"/>
      <w:divBdr>
        <w:top w:val="none" w:sz="0" w:space="0" w:color="auto"/>
        <w:left w:val="none" w:sz="0" w:space="0" w:color="auto"/>
        <w:bottom w:val="none" w:sz="0" w:space="0" w:color="auto"/>
        <w:right w:val="none" w:sz="0" w:space="0" w:color="auto"/>
      </w:divBdr>
    </w:div>
    <w:div w:id="376661269">
      <w:bodyDiv w:val="1"/>
      <w:marLeft w:val="0"/>
      <w:marRight w:val="0"/>
      <w:marTop w:val="0"/>
      <w:marBottom w:val="0"/>
      <w:divBdr>
        <w:top w:val="none" w:sz="0" w:space="0" w:color="auto"/>
        <w:left w:val="none" w:sz="0" w:space="0" w:color="auto"/>
        <w:bottom w:val="none" w:sz="0" w:space="0" w:color="auto"/>
        <w:right w:val="none" w:sz="0" w:space="0" w:color="auto"/>
      </w:divBdr>
      <w:divsChild>
        <w:div w:id="1747068145">
          <w:marLeft w:val="0"/>
          <w:marRight w:val="0"/>
          <w:marTop w:val="0"/>
          <w:marBottom w:val="225"/>
          <w:divBdr>
            <w:top w:val="none" w:sz="0" w:space="0" w:color="auto"/>
            <w:left w:val="none" w:sz="0" w:space="0" w:color="auto"/>
            <w:bottom w:val="none" w:sz="0" w:space="0" w:color="auto"/>
            <w:right w:val="none" w:sz="0" w:space="0" w:color="auto"/>
          </w:divBdr>
        </w:div>
        <w:div w:id="1864509523">
          <w:marLeft w:val="0"/>
          <w:marRight w:val="150"/>
          <w:marTop w:val="0"/>
          <w:marBottom w:val="0"/>
          <w:divBdr>
            <w:top w:val="none" w:sz="0" w:space="0" w:color="auto"/>
            <w:left w:val="none" w:sz="0" w:space="0" w:color="auto"/>
            <w:bottom w:val="none" w:sz="0" w:space="0" w:color="auto"/>
            <w:right w:val="none" w:sz="0" w:space="0" w:color="auto"/>
          </w:divBdr>
          <w:divsChild>
            <w:div w:id="1560094852">
              <w:marLeft w:val="0"/>
              <w:marRight w:val="0"/>
              <w:marTop w:val="0"/>
              <w:marBottom w:val="0"/>
              <w:divBdr>
                <w:top w:val="none" w:sz="0" w:space="0" w:color="auto"/>
                <w:left w:val="none" w:sz="0" w:space="0" w:color="auto"/>
                <w:bottom w:val="none" w:sz="0" w:space="0" w:color="auto"/>
                <w:right w:val="none" w:sz="0" w:space="0" w:color="auto"/>
              </w:divBdr>
              <w:divsChild>
                <w:div w:id="13119053">
                  <w:marLeft w:val="0"/>
                  <w:marRight w:val="0"/>
                  <w:marTop w:val="0"/>
                  <w:marBottom w:val="600"/>
                  <w:divBdr>
                    <w:top w:val="none" w:sz="0" w:space="0" w:color="auto"/>
                    <w:left w:val="none" w:sz="0" w:space="0" w:color="auto"/>
                    <w:bottom w:val="none" w:sz="0" w:space="0" w:color="auto"/>
                    <w:right w:val="none" w:sz="0" w:space="0" w:color="auto"/>
                  </w:divBdr>
                  <w:divsChild>
                    <w:div w:id="113452170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408159846">
      <w:bodyDiv w:val="1"/>
      <w:marLeft w:val="0"/>
      <w:marRight w:val="0"/>
      <w:marTop w:val="0"/>
      <w:marBottom w:val="0"/>
      <w:divBdr>
        <w:top w:val="none" w:sz="0" w:space="0" w:color="auto"/>
        <w:left w:val="none" w:sz="0" w:space="0" w:color="auto"/>
        <w:bottom w:val="none" w:sz="0" w:space="0" w:color="auto"/>
        <w:right w:val="none" w:sz="0" w:space="0" w:color="auto"/>
      </w:divBdr>
    </w:div>
    <w:div w:id="409546918">
      <w:bodyDiv w:val="1"/>
      <w:marLeft w:val="0"/>
      <w:marRight w:val="0"/>
      <w:marTop w:val="0"/>
      <w:marBottom w:val="0"/>
      <w:divBdr>
        <w:top w:val="none" w:sz="0" w:space="0" w:color="auto"/>
        <w:left w:val="none" w:sz="0" w:space="0" w:color="auto"/>
        <w:bottom w:val="none" w:sz="0" w:space="0" w:color="auto"/>
        <w:right w:val="none" w:sz="0" w:space="0" w:color="auto"/>
      </w:divBdr>
    </w:div>
    <w:div w:id="422796456">
      <w:bodyDiv w:val="1"/>
      <w:marLeft w:val="0"/>
      <w:marRight w:val="0"/>
      <w:marTop w:val="0"/>
      <w:marBottom w:val="0"/>
      <w:divBdr>
        <w:top w:val="none" w:sz="0" w:space="0" w:color="auto"/>
        <w:left w:val="none" w:sz="0" w:space="0" w:color="auto"/>
        <w:bottom w:val="none" w:sz="0" w:space="0" w:color="auto"/>
        <w:right w:val="none" w:sz="0" w:space="0" w:color="auto"/>
      </w:divBdr>
    </w:div>
    <w:div w:id="439686520">
      <w:bodyDiv w:val="1"/>
      <w:marLeft w:val="0"/>
      <w:marRight w:val="0"/>
      <w:marTop w:val="0"/>
      <w:marBottom w:val="0"/>
      <w:divBdr>
        <w:top w:val="none" w:sz="0" w:space="0" w:color="auto"/>
        <w:left w:val="none" w:sz="0" w:space="0" w:color="auto"/>
        <w:bottom w:val="none" w:sz="0" w:space="0" w:color="auto"/>
        <w:right w:val="none" w:sz="0" w:space="0" w:color="auto"/>
      </w:divBdr>
    </w:div>
    <w:div w:id="454638640">
      <w:bodyDiv w:val="1"/>
      <w:marLeft w:val="0"/>
      <w:marRight w:val="0"/>
      <w:marTop w:val="0"/>
      <w:marBottom w:val="0"/>
      <w:divBdr>
        <w:top w:val="none" w:sz="0" w:space="0" w:color="auto"/>
        <w:left w:val="none" w:sz="0" w:space="0" w:color="auto"/>
        <w:bottom w:val="none" w:sz="0" w:space="0" w:color="auto"/>
        <w:right w:val="none" w:sz="0" w:space="0" w:color="auto"/>
      </w:divBdr>
    </w:div>
    <w:div w:id="474834122">
      <w:bodyDiv w:val="1"/>
      <w:marLeft w:val="0"/>
      <w:marRight w:val="0"/>
      <w:marTop w:val="0"/>
      <w:marBottom w:val="0"/>
      <w:divBdr>
        <w:top w:val="none" w:sz="0" w:space="0" w:color="auto"/>
        <w:left w:val="none" w:sz="0" w:space="0" w:color="auto"/>
        <w:bottom w:val="none" w:sz="0" w:space="0" w:color="auto"/>
        <w:right w:val="none" w:sz="0" w:space="0" w:color="auto"/>
      </w:divBdr>
      <w:divsChild>
        <w:div w:id="417286203">
          <w:marLeft w:val="0"/>
          <w:marRight w:val="0"/>
          <w:marTop w:val="0"/>
          <w:marBottom w:val="0"/>
          <w:divBdr>
            <w:top w:val="none" w:sz="0" w:space="0" w:color="auto"/>
            <w:left w:val="none" w:sz="0" w:space="0" w:color="auto"/>
            <w:bottom w:val="none" w:sz="0" w:space="0" w:color="auto"/>
            <w:right w:val="none" w:sz="0" w:space="0" w:color="auto"/>
          </w:divBdr>
        </w:div>
      </w:divsChild>
    </w:div>
    <w:div w:id="486627427">
      <w:bodyDiv w:val="1"/>
      <w:marLeft w:val="0"/>
      <w:marRight w:val="0"/>
      <w:marTop w:val="0"/>
      <w:marBottom w:val="0"/>
      <w:divBdr>
        <w:top w:val="none" w:sz="0" w:space="0" w:color="auto"/>
        <w:left w:val="none" w:sz="0" w:space="0" w:color="auto"/>
        <w:bottom w:val="none" w:sz="0" w:space="0" w:color="auto"/>
        <w:right w:val="none" w:sz="0" w:space="0" w:color="auto"/>
      </w:divBdr>
      <w:divsChild>
        <w:div w:id="523325752">
          <w:marLeft w:val="547"/>
          <w:marRight w:val="0"/>
          <w:marTop w:val="0"/>
          <w:marBottom w:val="0"/>
          <w:divBdr>
            <w:top w:val="none" w:sz="0" w:space="0" w:color="auto"/>
            <w:left w:val="none" w:sz="0" w:space="0" w:color="auto"/>
            <w:bottom w:val="none" w:sz="0" w:space="0" w:color="auto"/>
            <w:right w:val="none" w:sz="0" w:space="0" w:color="auto"/>
          </w:divBdr>
        </w:div>
        <w:div w:id="608121988">
          <w:marLeft w:val="547"/>
          <w:marRight w:val="0"/>
          <w:marTop w:val="0"/>
          <w:marBottom w:val="0"/>
          <w:divBdr>
            <w:top w:val="none" w:sz="0" w:space="0" w:color="auto"/>
            <w:left w:val="none" w:sz="0" w:space="0" w:color="auto"/>
            <w:bottom w:val="none" w:sz="0" w:space="0" w:color="auto"/>
            <w:right w:val="none" w:sz="0" w:space="0" w:color="auto"/>
          </w:divBdr>
        </w:div>
        <w:div w:id="1182285806">
          <w:marLeft w:val="547"/>
          <w:marRight w:val="0"/>
          <w:marTop w:val="0"/>
          <w:marBottom w:val="0"/>
          <w:divBdr>
            <w:top w:val="none" w:sz="0" w:space="0" w:color="auto"/>
            <w:left w:val="none" w:sz="0" w:space="0" w:color="auto"/>
            <w:bottom w:val="none" w:sz="0" w:space="0" w:color="auto"/>
            <w:right w:val="none" w:sz="0" w:space="0" w:color="auto"/>
          </w:divBdr>
        </w:div>
        <w:div w:id="1905945401">
          <w:marLeft w:val="547"/>
          <w:marRight w:val="0"/>
          <w:marTop w:val="0"/>
          <w:marBottom w:val="0"/>
          <w:divBdr>
            <w:top w:val="none" w:sz="0" w:space="0" w:color="auto"/>
            <w:left w:val="none" w:sz="0" w:space="0" w:color="auto"/>
            <w:bottom w:val="none" w:sz="0" w:space="0" w:color="auto"/>
            <w:right w:val="none" w:sz="0" w:space="0" w:color="auto"/>
          </w:divBdr>
        </w:div>
      </w:divsChild>
    </w:div>
    <w:div w:id="491259386">
      <w:bodyDiv w:val="1"/>
      <w:marLeft w:val="0"/>
      <w:marRight w:val="0"/>
      <w:marTop w:val="0"/>
      <w:marBottom w:val="0"/>
      <w:divBdr>
        <w:top w:val="none" w:sz="0" w:space="0" w:color="auto"/>
        <w:left w:val="none" w:sz="0" w:space="0" w:color="auto"/>
        <w:bottom w:val="none" w:sz="0" w:space="0" w:color="auto"/>
        <w:right w:val="none" w:sz="0" w:space="0" w:color="auto"/>
      </w:divBdr>
      <w:divsChild>
        <w:div w:id="1456943651">
          <w:marLeft w:val="547"/>
          <w:marRight w:val="0"/>
          <w:marTop w:val="0"/>
          <w:marBottom w:val="0"/>
          <w:divBdr>
            <w:top w:val="none" w:sz="0" w:space="0" w:color="auto"/>
            <w:left w:val="none" w:sz="0" w:space="0" w:color="auto"/>
            <w:bottom w:val="none" w:sz="0" w:space="0" w:color="auto"/>
            <w:right w:val="none" w:sz="0" w:space="0" w:color="auto"/>
          </w:divBdr>
        </w:div>
        <w:div w:id="1162890738">
          <w:marLeft w:val="547"/>
          <w:marRight w:val="0"/>
          <w:marTop w:val="0"/>
          <w:marBottom w:val="0"/>
          <w:divBdr>
            <w:top w:val="none" w:sz="0" w:space="0" w:color="auto"/>
            <w:left w:val="none" w:sz="0" w:space="0" w:color="auto"/>
            <w:bottom w:val="none" w:sz="0" w:space="0" w:color="auto"/>
            <w:right w:val="none" w:sz="0" w:space="0" w:color="auto"/>
          </w:divBdr>
        </w:div>
        <w:div w:id="1987322941">
          <w:marLeft w:val="547"/>
          <w:marRight w:val="0"/>
          <w:marTop w:val="0"/>
          <w:marBottom w:val="0"/>
          <w:divBdr>
            <w:top w:val="none" w:sz="0" w:space="0" w:color="auto"/>
            <w:left w:val="none" w:sz="0" w:space="0" w:color="auto"/>
            <w:bottom w:val="none" w:sz="0" w:space="0" w:color="auto"/>
            <w:right w:val="none" w:sz="0" w:space="0" w:color="auto"/>
          </w:divBdr>
        </w:div>
        <w:div w:id="516623175">
          <w:marLeft w:val="547"/>
          <w:marRight w:val="0"/>
          <w:marTop w:val="0"/>
          <w:marBottom w:val="0"/>
          <w:divBdr>
            <w:top w:val="none" w:sz="0" w:space="0" w:color="auto"/>
            <w:left w:val="none" w:sz="0" w:space="0" w:color="auto"/>
            <w:bottom w:val="none" w:sz="0" w:space="0" w:color="auto"/>
            <w:right w:val="none" w:sz="0" w:space="0" w:color="auto"/>
          </w:divBdr>
        </w:div>
        <w:div w:id="776801455">
          <w:marLeft w:val="547"/>
          <w:marRight w:val="0"/>
          <w:marTop w:val="0"/>
          <w:marBottom w:val="0"/>
          <w:divBdr>
            <w:top w:val="none" w:sz="0" w:space="0" w:color="auto"/>
            <w:left w:val="none" w:sz="0" w:space="0" w:color="auto"/>
            <w:bottom w:val="none" w:sz="0" w:space="0" w:color="auto"/>
            <w:right w:val="none" w:sz="0" w:space="0" w:color="auto"/>
          </w:divBdr>
        </w:div>
      </w:divsChild>
    </w:div>
    <w:div w:id="515846444">
      <w:bodyDiv w:val="1"/>
      <w:marLeft w:val="0"/>
      <w:marRight w:val="0"/>
      <w:marTop w:val="0"/>
      <w:marBottom w:val="0"/>
      <w:divBdr>
        <w:top w:val="none" w:sz="0" w:space="0" w:color="auto"/>
        <w:left w:val="none" w:sz="0" w:space="0" w:color="auto"/>
        <w:bottom w:val="none" w:sz="0" w:space="0" w:color="auto"/>
        <w:right w:val="none" w:sz="0" w:space="0" w:color="auto"/>
      </w:divBdr>
    </w:div>
    <w:div w:id="528957607">
      <w:bodyDiv w:val="1"/>
      <w:marLeft w:val="0"/>
      <w:marRight w:val="0"/>
      <w:marTop w:val="0"/>
      <w:marBottom w:val="0"/>
      <w:divBdr>
        <w:top w:val="none" w:sz="0" w:space="0" w:color="auto"/>
        <w:left w:val="none" w:sz="0" w:space="0" w:color="auto"/>
        <w:bottom w:val="none" w:sz="0" w:space="0" w:color="auto"/>
        <w:right w:val="none" w:sz="0" w:space="0" w:color="auto"/>
      </w:divBdr>
    </w:div>
    <w:div w:id="534077151">
      <w:bodyDiv w:val="1"/>
      <w:marLeft w:val="0"/>
      <w:marRight w:val="0"/>
      <w:marTop w:val="0"/>
      <w:marBottom w:val="0"/>
      <w:divBdr>
        <w:top w:val="none" w:sz="0" w:space="0" w:color="auto"/>
        <w:left w:val="none" w:sz="0" w:space="0" w:color="auto"/>
        <w:bottom w:val="none" w:sz="0" w:space="0" w:color="auto"/>
        <w:right w:val="none" w:sz="0" w:space="0" w:color="auto"/>
      </w:divBdr>
    </w:div>
    <w:div w:id="542986073">
      <w:bodyDiv w:val="1"/>
      <w:marLeft w:val="0"/>
      <w:marRight w:val="0"/>
      <w:marTop w:val="0"/>
      <w:marBottom w:val="0"/>
      <w:divBdr>
        <w:top w:val="none" w:sz="0" w:space="0" w:color="auto"/>
        <w:left w:val="none" w:sz="0" w:space="0" w:color="auto"/>
        <w:bottom w:val="none" w:sz="0" w:space="0" w:color="auto"/>
        <w:right w:val="none" w:sz="0" w:space="0" w:color="auto"/>
      </w:divBdr>
    </w:div>
    <w:div w:id="573853699">
      <w:bodyDiv w:val="1"/>
      <w:marLeft w:val="0"/>
      <w:marRight w:val="0"/>
      <w:marTop w:val="0"/>
      <w:marBottom w:val="0"/>
      <w:divBdr>
        <w:top w:val="none" w:sz="0" w:space="0" w:color="auto"/>
        <w:left w:val="none" w:sz="0" w:space="0" w:color="auto"/>
        <w:bottom w:val="none" w:sz="0" w:space="0" w:color="auto"/>
        <w:right w:val="none" w:sz="0" w:space="0" w:color="auto"/>
      </w:divBdr>
    </w:div>
    <w:div w:id="598147363">
      <w:bodyDiv w:val="1"/>
      <w:marLeft w:val="0"/>
      <w:marRight w:val="0"/>
      <w:marTop w:val="0"/>
      <w:marBottom w:val="0"/>
      <w:divBdr>
        <w:top w:val="none" w:sz="0" w:space="0" w:color="auto"/>
        <w:left w:val="none" w:sz="0" w:space="0" w:color="auto"/>
        <w:bottom w:val="none" w:sz="0" w:space="0" w:color="auto"/>
        <w:right w:val="none" w:sz="0" w:space="0" w:color="auto"/>
      </w:divBdr>
      <w:divsChild>
        <w:div w:id="259994905">
          <w:marLeft w:val="547"/>
          <w:marRight w:val="0"/>
          <w:marTop w:val="0"/>
          <w:marBottom w:val="0"/>
          <w:divBdr>
            <w:top w:val="none" w:sz="0" w:space="0" w:color="auto"/>
            <w:left w:val="none" w:sz="0" w:space="0" w:color="auto"/>
            <w:bottom w:val="none" w:sz="0" w:space="0" w:color="auto"/>
            <w:right w:val="none" w:sz="0" w:space="0" w:color="auto"/>
          </w:divBdr>
        </w:div>
      </w:divsChild>
    </w:div>
    <w:div w:id="599217677">
      <w:bodyDiv w:val="1"/>
      <w:marLeft w:val="0"/>
      <w:marRight w:val="0"/>
      <w:marTop w:val="0"/>
      <w:marBottom w:val="0"/>
      <w:divBdr>
        <w:top w:val="none" w:sz="0" w:space="0" w:color="auto"/>
        <w:left w:val="none" w:sz="0" w:space="0" w:color="auto"/>
        <w:bottom w:val="none" w:sz="0" w:space="0" w:color="auto"/>
        <w:right w:val="none" w:sz="0" w:space="0" w:color="auto"/>
      </w:divBdr>
    </w:div>
    <w:div w:id="600919420">
      <w:bodyDiv w:val="1"/>
      <w:marLeft w:val="0"/>
      <w:marRight w:val="0"/>
      <w:marTop w:val="0"/>
      <w:marBottom w:val="0"/>
      <w:divBdr>
        <w:top w:val="none" w:sz="0" w:space="0" w:color="auto"/>
        <w:left w:val="none" w:sz="0" w:space="0" w:color="auto"/>
        <w:bottom w:val="none" w:sz="0" w:space="0" w:color="auto"/>
        <w:right w:val="none" w:sz="0" w:space="0" w:color="auto"/>
      </w:divBdr>
    </w:div>
    <w:div w:id="642655904">
      <w:bodyDiv w:val="1"/>
      <w:marLeft w:val="0"/>
      <w:marRight w:val="0"/>
      <w:marTop w:val="0"/>
      <w:marBottom w:val="0"/>
      <w:divBdr>
        <w:top w:val="none" w:sz="0" w:space="0" w:color="auto"/>
        <w:left w:val="none" w:sz="0" w:space="0" w:color="auto"/>
        <w:bottom w:val="none" w:sz="0" w:space="0" w:color="auto"/>
        <w:right w:val="none" w:sz="0" w:space="0" w:color="auto"/>
      </w:divBdr>
    </w:div>
    <w:div w:id="660503589">
      <w:bodyDiv w:val="1"/>
      <w:marLeft w:val="0"/>
      <w:marRight w:val="0"/>
      <w:marTop w:val="0"/>
      <w:marBottom w:val="0"/>
      <w:divBdr>
        <w:top w:val="none" w:sz="0" w:space="0" w:color="auto"/>
        <w:left w:val="none" w:sz="0" w:space="0" w:color="auto"/>
        <w:bottom w:val="none" w:sz="0" w:space="0" w:color="auto"/>
        <w:right w:val="none" w:sz="0" w:space="0" w:color="auto"/>
      </w:divBdr>
      <w:divsChild>
        <w:div w:id="367995261">
          <w:marLeft w:val="547"/>
          <w:marRight w:val="0"/>
          <w:marTop w:val="0"/>
          <w:marBottom w:val="0"/>
          <w:divBdr>
            <w:top w:val="none" w:sz="0" w:space="0" w:color="auto"/>
            <w:left w:val="none" w:sz="0" w:space="0" w:color="auto"/>
            <w:bottom w:val="none" w:sz="0" w:space="0" w:color="auto"/>
            <w:right w:val="none" w:sz="0" w:space="0" w:color="auto"/>
          </w:divBdr>
        </w:div>
        <w:div w:id="1137719091">
          <w:marLeft w:val="547"/>
          <w:marRight w:val="0"/>
          <w:marTop w:val="0"/>
          <w:marBottom w:val="0"/>
          <w:divBdr>
            <w:top w:val="none" w:sz="0" w:space="0" w:color="auto"/>
            <w:left w:val="none" w:sz="0" w:space="0" w:color="auto"/>
            <w:bottom w:val="none" w:sz="0" w:space="0" w:color="auto"/>
            <w:right w:val="none" w:sz="0" w:space="0" w:color="auto"/>
          </w:divBdr>
        </w:div>
      </w:divsChild>
    </w:div>
    <w:div w:id="679312819">
      <w:bodyDiv w:val="1"/>
      <w:marLeft w:val="0"/>
      <w:marRight w:val="0"/>
      <w:marTop w:val="0"/>
      <w:marBottom w:val="0"/>
      <w:divBdr>
        <w:top w:val="none" w:sz="0" w:space="0" w:color="auto"/>
        <w:left w:val="none" w:sz="0" w:space="0" w:color="auto"/>
        <w:bottom w:val="none" w:sz="0" w:space="0" w:color="auto"/>
        <w:right w:val="none" w:sz="0" w:space="0" w:color="auto"/>
      </w:divBdr>
    </w:div>
    <w:div w:id="725644308">
      <w:bodyDiv w:val="1"/>
      <w:marLeft w:val="0"/>
      <w:marRight w:val="0"/>
      <w:marTop w:val="0"/>
      <w:marBottom w:val="0"/>
      <w:divBdr>
        <w:top w:val="none" w:sz="0" w:space="0" w:color="auto"/>
        <w:left w:val="none" w:sz="0" w:space="0" w:color="auto"/>
        <w:bottom w:val="none" w:sz="0" w:space="0" w:color="auto"/>
        <w:right w:val="none" w:sz="0" w:space="0" w:color="auto"/>
      </w:divBdr>
      <w:divsChild>
        <w:div w:id="221335814">
          <w:marLeft w:val="547"/>
          <w:marRight w:val="0"/>
          <w:marTop w:val="0"/>
          <w:marBottom w:val="0"/>
          <w:divBdr>
            <w:top w:val="none" w:sz="0" w:space="0" w:color="auto"/>
            <w:left w:val="none" w:sz="0" w:space="0" w:color="auto"/>
            <w:bottom w:val="none" w:sz="0" w:space="0" w:color="auto"/>
            <w:right w:val="none" w:sz="0" w:space="0" w:color="auto"/>
          </w:divBdr>
        </w:div>
        <w:div w:id="924726143">
          <w:marLeft w:val="547"/>
          <w:marRight w:val="0"/>
          <w:marTop w:val="0"/>
          <w:marBottom w:val="0"/>
          <w:divBdr>
            <w:top w:val="none" w:sz="0" w:space="0" w:color="auto"/>
            <w:left w:val="none" w:sz="0" w:space="0" w:color="auto"/>
            <w:bottom w:val="none" w:sz="0" w:space="0" w:color="auto"/>
            <w:right w:val="none" w:sz="0" w:space="0" w:color="auto"/>
          </w:divBdr>
        </w:div>
        <w:div w:id="1516920065">
          <w:marLeft w:val="547"/>
          <w:marRight w:val="0"/>
          <w:marTop w:val="0"/>
          <w:marBottom w:val="0"/>
          <w:divBdr>
            <w:top w:val="none" w:sz="0" w:space="0" w:color="auto"/>
            <w:left w:val="none" w:sz="0" w:space="0" w:color="auto"/>
            <w:bottom w:val="none" w:sz="0" w:space="0" w:color="auto"/>
            <w:right w:val="none" w:sz="0" w:space="0" w:color="auto"/>
          </w:divBdr>
        </w:div>
      </w:divsChild>
    </w:div>
    <w:div w:id="734427051">
      <w:bodyDiv w:val="1"/>
      <w:marLeft w:val="0"/>
      <w:marRight w:val="0"/>
      <w:marTop w:val="0"/>
      <w:marBottom w:val="0"/>
      <w:divBdr>
        <w:top w:val="none" w:sz="0" w:space="0" w:color="auto"/>
        <w:left w:val="none" w:sz="0" w:space="0" w:color="auto"/>
        <w:bottom w:val="none" w:sz="0" w:space="0" w:color="auto"/>
        <w:right w:val="none" w:sz="0" w:space="0" w:color="auto"/>
      </w:divBdr>
      <w:divsChild>
        <w:div w:id="26875690">
          <w:marLeft w:val="547"/>
          <w:marRight w:val="0"/>
          <w:marTop w:val="0"/>
          <w:marBottom w:val="0"/>
          <w:divBdr>
            <w:top w:val="none" w:sz="0" w:space="0" w:color="auto"/>
            <w:left w:val="none" w:sz="0" w:space="0" w:color="auto"/>
            <w:bottom w:val="none" w:sz="0" w:space="0" w:color="auto"/>
            <w:right w:val="none" w:sz="0" w:space="0" w:color="auto"/>
          </w:divBdr>
        </w:div>
        <w:div w:id="211038834">
          <w:marLeft w:val="547"/>
          <w:marRight w:val="0"/>
          <w:marTop w:val="0"/>
          <w:marBottom w:val="0"/>
          <w:divBdr>
            <w:top w:val="none" w:sz="0" w:space="0" w:color="auto"/>
            <w:left w:val="none" w:sz="0" w:space="0" w:color="auto"/>
            <w:bottom w:val="none" w:sz="0" w:space="0" w:color="auto"/>
            <w:right w:val="none" w:sz="0" w:space="0" w:color="auto"/>
          </w:divBdr>
        </w:div>
        <w:div w:id="405230449">
          <w:marLeft w:val="547"/>
          <w:marRight w:val="0"/>
          <w:marTop w:val="0"/>
          <w:marBottom w:val="0"/>
          <w:divBdr>
            <w:top w:val="none" w:sz="0" w:space="0" w:color="auto"/>
            <w:left w:val="none" w:sz="0" w:space="0" w:color="auto"/>
            <w:bottom w:val="none" w:sz="0" w:space="0" w:color="auto"/>
            <w:right w:val="none" w:sz="0" w:space="0" w:color="auto"/>
          </w:divBdr>
        </w:div>
      </w:divsChild>
    </w:div>
    <w:div w:id="738484470">
      <w:bodyDiv w:val="1"/>
      <w:marLeft w:val="0"/>
      <w:marRight w:val="0"/>
      <w:marTop w:val="0"/>
      <w:marBottom w:val="0"/>
      <w:divBdr>
        <w:top w:val="none" w:sz="0" w:space="0" w:color="auto"/>
        <w:left w:val="none" w:sz="0" w:space="0" w:color="auto"/>
        <w:bottom w:val="none" w:sz="0" w:space="0" w:color="auto"/>
        <w:right w:val="none" w:sz="0" w:space="0" w:color="auto"/>
      </w:divBdr>
    </w:div>
    <w:div w:id="784738566">
      <w:bodyDiv w:val="1"/>
      <w:marLeft w:val="0"/>
      <w:marRight w:val="0"/>
      <w:marTop w:val="0"/>
      <w:marBottom w:val="0"/>
      <w:divBdr>
        <w:top w:val="none" w:sz="0" w:space="0" w:color="auto"/>
        <w:left w:val="none" w:sz="0" w:space="0" w:color="auto"/>
        <w:bottom w:val="none" w:sz="0" w:space="0" w:color="auto"/>
        <w:right w:val="none" w:sz="0" w:space="0" w:color="auto"/>
      </w:divBdr>
    </w:div>
    <w:div w:id="830215442">
      <w:bodyDiv w:val="1"/>
      <w:marLeft w:val="0"/>
      <w:marRight w:val="0"/>
      <w:marTop w:val="0"/>
      <w:marBottom w:val="0"/>
      <w:divBdr>
        <w:top w:val="none" w:sz="0" w:space="0" w:color="auto"/>
        <w:left w:val="none" w:sz="0" w:space="0" w:color="auto"/>
        <w:bottom w:val="none" w:sz="0" w:space="0" w:color="auto"/>
        <w:right w:val="none" w:sz="0" w:space="0" w:color="auto"/>
      </w:divBdr>
    </w:div>
    <w:div w:id="927736766">
      <w:bodyDiv w:val="1"/>
      <w:marLeft w:val="0"/>
      <w:marRight w:val="0"/>
      <w:marTop w:val="0"/>
      <w:marBottom w:val="0"/>
      <w:divBdr>
        <w:top w:val="none" w:sz="0" w:space="0" w:color="auto"/>
        <w:left w:val="none" w:sz="0" w:space="0" w:color="auto"/>
        <w:bottom w:val="none" w:sz="0" w:space="0" w:color="auto"/>
        <w:right w:val="none" w:sz="0" w:space="0" w:color="auto"/>
      </w:divBdr>
    </w:div>
    <w:div w:id="957102428">
      <w:bodyDiv w:val="1"/>
      <w:marLeft w:val="0"/>
      <w:marRight w:val="0"/>
      <w:marTop w:val="0"/>
      <w:marBottom w:val="0"/>
      <w:divBdr>
        <w:top w:val="none" w:sz="0" w:space="0" w:color="auto"/>
        <w:left w:val="none" w:sz="0" w:space="0" w:color="auto"/>
        <w:bottom w:val="none" w:sz="0" w:space="0" w:color="auto"/>
        <w:right w:val="none" w:sz="0" w:space="0" w:color="auto"/>
      </w:divBdr>
    </w:div>
    <w:div w:id="960259140">
      <w:bodyDiv w:val="1"/>
      <w:marLeft w:val="0"/>
      <w:marRight w:val="0"/>
      <w:marTop w:val="0"/>
      <w:marBottom w:val="0"/>
      <w:divBdr>
        <w:top w:val="none" w:sz="0" w:space="0" w:color="auto"/>
        <w:left w:val="none" w:sz="0" w:space="0" w:color="auto"/>
        <w:bottom w:val="none" w:sz="0" w:space="0" w:color="auto"/>
        <w:right w:val="none" w:sz="0" w:space="0" w:color="auto"/>
      </w:divBdr>
    </w:div>
    <w:div w:id="971712200">
      <w:bodyDiv w:val="1"/>
      <w:marLeft w:val="0"/>
      <w:marRight w:val="0"/>
      <w:marTop w:val="0"/>
      <w:marBottom w:val="0"/>
      <w:divBdr>
        <w:top w:val="none" w:sz="0" w:space="0" w:color="auto"/>
        <w:left w:val="none" w:sz="0" w:space="0" w:color="auto"/>
        <w:bottom w:val="none" w:sz="0" w:space="0" w:color="auto"/>
        <w:right w:val="none" w:sz="0" w:space="0" w:color="auto"/>
      </w:divBdr>
    </w:div>
    <w:div w:id="984355214">
      <w:bodyDiv w:val="1"/>
      <w:marLeft w:val="0"/>
      <w:marRight w:val="0"/>
      <w:marTop w:val="0"/>
      <w:marBottom w:val="0"/>
      <w:divBdr>
        <w:top w:val="none" w:sz="0" w:space="0" w:color="auto"/>
        <w:left w:val="none" w:sz="0" w:space="0" w:color="auto"/>
        <w:bottom w:val="none" w:sz="0" w:space="0" w:color="auto"/>
        <w:right w:val="none" w:sz="0" w:space="0" w:color="auto"/>
      </w:divBdr>
      <w:divsChild>
        <w:div w:id="742685369">
          <w:marLeft w:val="0"/>
          <w:marRight w:val="0"/>
          <w:marTop w:val="0"/>
          <w:marBottom w:val="0"/>
          <w:divBdr>
            <w:top w:val="none" w:sz="0" w:space="0" w:color="auto"/>
            <w:left w:val="none" w:sz="0" w:space="0" w:color="auto"/>
            <w:bottom w:val="none" w:sz="0" w:space="0" w:color="auto"/>
            <w:right w:val="none" w:sz="0" w:space="0" w:color="auto"/>
          </w:divBdr>
          <w:divsChild>
            <w:div w:id="397483234">
              <w:marLeft w:val="0"/>
              <w:marRight w:val="0"/>
              <w:marTop w:val="0"/>
              <w:marBottom w:val="0"/>
              <w:divBdr>
                <w:top w:val="none" w:sz="0" w:space="0" w:color="auto"/>
                <w:left w:val="none" w:sz="0" w:space="0" w:color="auto"/>
                <w:bottom w:val="none" w:sz="0" w:space="0" w:color="auto"/>
                <w:right w:val="none" w:sz="0" w:space="0" w:color="auto"/>
              </w:divBdr>
              <w:divsChild>
                <w:div w:id="1976829609">
                  <w:marLeft w:val="0"/>
                  <w:marRight w:val="0"/>
                  <w:marTop w:val="0"/>
                  <w:marBottom w:val="0"/>
                  <w:divBdr>
                    <w:top w:val="none" w:sz="0" w:space="0" w:color="auto"/>
                    <w:left w:val="none" w:sz="0" w:space="0" w:color="auto"/>
                    <w:bottom w:val="none" w:sz="0" w:space="0" w:color="auto"/>
                    <w:right w:val="none" w:sz="0" w:space="0" w:color="auto"/>
                  </w:divBdr>
                  <w:divsChild>
                    <w:div w:id="585529686">
                      <w:marLeft w:val="0"/>
                      <w:marRight w:val="0"/>
                      <w:marTop w:val="0"/>
                      <w:marBottom w:val="0"/>
                      <w:divBdr>
                        <w:top w:val="none" w:sz="0" w:space="0" w:color="auto"/>
                        <w:left w:val="none" w:sz="0" w:space="0" w:color="auto"/>
                        <w:bottom w:val="none" w:sz="0" w:space="0" w:color="auto"/>
                        <w:right w:val="none" w:sz="0" w:space="0" w:color="auto"/>
                      </w:divBdr>
                      <w:divsChild>
                        <w:div w:id="1191839265">
                          <w:marLeft w:val="0"/>
                          <w:marRight w:val="0"/>
                          <w:marTop w:val="0"/>
                          <w:marBottom w:val="0"/>
                          <w:divBdr>
                            <w:top w:val="none" w:sz="0" w:space="0" w:color="auto"/>
                            <w:left w:val="none" w:sz="0" w:space="0" w:color="auto"/>
                            <w:bottom w:val="none" w:sz="0" w:space="0" w:color="auto"/>
                            <w:right w:val="none" w:sz="0" w:space="0" w:color="auto"/>
                          </w:divBdr>
                          <w:divsChild>
                            <w:div w:id="17022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493247">
      <w:bodyDiv w:val="1"/>
      <w:marLeft w:val="0"/>
      <w:marRight w:val="0"/>
      <w:marTop w:val="0"/>
      <w:marBottom w:val="0"/>
      <w:divBdr>
        <w:top w:val="none" w:sz="0" w:space="0" w:color="auto"/>
        <w:left w:val="none" w:sz="0" w:space="0" w:color="auto"/>
        <w:bottom w:val="none" w:sz="0" w:space="0" w:color="auto"/>
        <w:right w:val="none" w:sz="0" w:space="0" w:color="auto"/>
      </w:divBdr>
    </w:div>
    <w:div w:id="1042553192">
      <w:bodyDiv w:val="1"/>
      <w:marLeft w:val="0"/>
      <w:marRight w:val="0"/>
      <w:marTop w:val="0"/>
      <w:marBottom w:val="0"/>
      <w:divBdr>
        <w:top w:val="none" w:sz="0" w:space="0" w:color="auto"/>
        <w:left w:val="none" w:sz="0" w:space="0" w:color="auto"/>
        <w:bottom w:val="none" w:sz="0" w:space="0" w:color="auto"/>
        <w:right w:val="none" w:sz="0" w:space="0" w:color="auto"/>
      </w:divBdr>
      <w:divsChild>
        <w:div w:id="1620256751">
          <w:marLeft w:val="547"/>
          <w:marRight w:val="0"/>
          <w:marTop w:val="0"/>
          <w:marBottom w:val="0"/>
          <w:divBdr>
            <w:top w:val="none" w:sz="0" w:space="0" w:color="auto"/>
            <w:left w:val="none" w:sz="0" w:space="0" w:color="auto"/>
            <w:bottom w:val="none" w:sz="0" w:space="0" w:color="auto"/>
            <w:right w:val="none" w:sz="0" w:space="0" w:color="auto"/>
          </w:divBdr>
        </w:div>
        <w:div w:id="290944808">
          <w:marLeft w:val="547"/>
          <w:marRight w:val="0"/>
          <w:marTop w:val="0"/>
          <w:marBottom w:val="0"/>
          <w:divBdr>
            <w:top w:val="none" w:sz="0" w:space="0" w:color="auto"/>
            <w:left w:val="none" w:sz="0" w:space="0" w:color="auto"/>
            <w:bottom w:val="none" w:sz="0" w:space="0" w:color="auto"/>
            <w:right w:val="none" w:sz="0" w:space="0" w:color="auto"/>
          </w:divBdr>
        </w:div>
        <w:div w:id="226304818">
          <w:marLeft w:val="547"/>
          <w:marRight w:val="0"/>
          <w:marTop w:val="0"/>
          <w:marBottom w:val="0"/>
          <w:divBdr>
            <w:top w:val="none" w:sz="0" w:space="0" w:color="auto"/>
            <w:left w:val="none" w:sz="0" w:space="0" w:color="auto"/>
            <w:bottom w:val="none" w:sz="0" w:space="0" w:color="auto"/>
            <w:right w:val="none" w:sz="0" w:space="0" w:color="auto"/>
          </w:divBdr>
        </w:div>
        <w:div w:id="1800026002">
          <w:marLeft w:val="547"/>
          <w:marRight w:val="0"/>
          <w:marTop w:val="0"/>
          <w:marBottom w:val="0"/>
          <w:divBdr>
            <w:top w:val="none" w:sz="0" w:space="0" w:color="auto"/>
            <w:left w:val="none" w:sz="0" w:space="0" w:color="auto"/>
            <w:bottom w:val="none" w:sz="0" w:space="0" w:color="auto"/>
            <w:right w:val="none" w:sz="0" w:space="0" w:color="auto"/>
          </w:divBdr>
        </w:div>
        <w:div w:id="815486618">
          <w:marLeft w:val="547"/>
          <w:marRight w:val="0"/>
          <w:marTop w:val="0"/>
          <w:marBottom w:val="0"/>
          <w:divBdr>
            <w:top w:val="none" w:sz="0" w:space="0" w:color="auto"/>
            <w:left w:val="none" w:sz="0" w:space="0" w:color="auto"/>
            <w:bottom w:val="none" w:sz="0" w:space="0" w:color="auto"/>
            <w:right w:val="none" w:sz="0" w:space="0" w:color="auto"/>
          </w:divBdr>
        </w:div>
        <w:div w:id="1523712636">
          <w:marLeft w:val="547"/>
          <w:marRight w:val="0"/>
          <w:marTop w:val="0"/>
          <w:marBottom w:val="0"/>
          <w:divBdr>
            <w:top w:val="none" w:sz="0" w:space="0" w:color="auto"/>
            <w:left w:val="none" w:sz="0" w:space="0" w:color="auto"/>
            <w:bottom w:val="none" w:sz="0" w:space="0" w:color="auto"/>
            <w:right w:val="none" w:sz="0" w:space="0" w:color="auto"/>
          </w:divBdr>
        </w:div>
        <w:div w:id="917254664">
          <w:marLeft w:val="547"/>
          <w:marRight w:val="0"/>
          <w:marTop w:val="0"/>
          <w:marBottom w:val="0"/>
          <w:divBdr>
            <w:top w:val="none" w:sz="0" w:space="0" w:color="auto"/>
            <w:left w:val="none" w:sz="0" w:space="0" w:color="auto"/>
            <w:bottom w:val="none" w:sz="0" w:space="0" w:color="auto"/>
            <w:right w:val="none" w:sz="0" w:space="0" w:color="auto"/>
          </w:divBdr>
        </w:div>
        <w:div w:id="1514029749">
          <w:marLeft w:val="547"/>
          <w:marRight w:val="0"/>
          <w:marTop w:val="0"/>
          <w:marBottom w:val="0"/>
          <w:divBdr>
            <w:top w:val="none" w:sz="0" w:space="0" w:color="auto"/>
            <w:left w:val="none" w:sz="0" w:space="0" w:color="auto"/>
            <w:bottom w:val="none" w:sz="0" w:space="0" w:color="auto"/>
            <w:right w:val="none" w:sz="0" w:space="0" w:color="auto"/>
          </w:divBdr>
        </w:div>
      </w:divsChild>
    </w:div>
    <w:div w:id="1059520852">
      <w:bodyDiv w:val="1"/>
      <w:marLeft w:val="0"/>
      <w:marRight w:val="0"/>
      <w:marTop w:val="0"/>
      <w:marBottom w:val="0"/>
      <w:divBdr>
        <w:top w:val="none" w:sz="0" w:space="0" w:color="auto"/>
        <w:left w:val="none" w:sz="0" w:space="0" w:color="auto"/>
        <w:bottom w:val="none" w:sz="0" w:space="0" w:color="auto"/>
        <w:right w:val="none" w:sz="0" w:space="0" w:color="auto"/>
      </w:divBdr>
    </w:div>
    <w:div w:id="1087387842">
      <w:bodyDiv w:val="1"/>
      <w:marLeft w:val="0"/>
      <w:marRight w:val="0"/>
      <w:marTop w:val="0"/>
      <w:marBottom w:val="0"/>
      <w:divBdr>
        <w:top w:val="none" w:sz="0" w:space="0" w:color="auto"/>
        <w:left w:val="none" w:sz="0" w:space="0" w:color="auto"/>
        <w:bottom w:val="none" w:sz="0" w:space="0" w:color="auto"/>
        <w:right w:val="none" w:sz="0" w:space="0" w:color="auto"/>
      </w:divBdr>
    </w:div>
    <w:div w:id="1109854546">
      <w:bodyDiv w:val="1"/>
      <w:marLeft w:val="0"/>
      <w:marRight w:val="0"/>
      <w:marTop w:val="0"/>
      <w:marBottom w:val="0"/>
      <w:divBdr>
        <w:top w:val="none" w:sz="0" w:space="0" w:color="auto"/>
        <w:left w:val="none" w:sz="0" w:space="0" w:color="auto"/>
        <w:bottom w:val="none" w:sz="0" w:space="0" w:color="auto"/>
        <w:right w:val="none" w:sz="0" w:space="0" w:color="auto"/>
      </w:divBdr>
      <w:divsChild>
        <w:div w:id="2515663">
          <w:marLeft w:val="547"/>
          <w:marRight w:val="0"/>
          <w:marTop w:val="0"/>
          <w:marBottom w:val="0"/>
          <w:divBdr>
            <w:top w:val="none" w:sz="0" w:space="0" w:color="auto"/>
            <w:left w:val="none" w:sz="0" w:space="0" w:color="auto"/>
            <w:bottom w:val="none" w:sz="0" w:space="0" w:color="auto"/>
            <w:right w:val="none" w:sz="0" w:space="0" w:color="auto"/>
          </w:divBdr>
        </w:div>
        <w:div w:id="1119566867">
          <w:marLeft w:val="547"/>
          <w:marRight w:val="0"/>
          <w:marTop w:val="0"/>
          <w:marBottom w:val="0"/>
          <w:divBdr>
            <w:top w:val="none" w:sz="0" w:space="0" w:color="auto"/>
            <w:left w:val="none" w:sz="0" w:space="0" w:color="auto"/>
            <w:bottom w:val="none" w:sz="0" w:space="0" w:color="auto"/>
            <w:right w:val="none" w:sz="0" w:space="0" w:color="auto"/>
          </w:divBdr>
        </w:div>
        <w:div w:id="1716470892">
          <w:marLeft w:val="547"/>
          <w:marRight w:val="0"/>
          <w:marTop w:val="0"/>
          <w:marBottom w:val="0"/>
          <w:divBdr>
            <w:top w:val="none" w:sz="0" w:space="0" w:color="auto"/>
            <w:left w:val="none" w:sz="0" w:space="0" w:color="auto"/>
            <w:bottom w:val="none" w:sz="0" w:space="0" w:color="auto"/>
            <w:right w:val="none" w:sz="0" w:space="0" w:color="auto"/>
          </w:divBdr>
        </w:div>
        <w:div w:id="1831749950">
          <w:marLeft w:val="547"/>
          <w:marRight w:val="0"/>
          <w:marTop w:val="0"/>
          <w:marBottom w:val="0"/>
          <w:divBdr>
            <w:top w:val="none" w:sz="0" w:space="0" w:color="auto"/>
            <w:left w:val="none" w:sz="0" w:space="0" w:color="auto"/>
            <w:bottom w:val="none" w:sz="0" w:space="0" w:color="auto"/>
            <w:right w:val="none" w:sz="0" w:space="0" w:color="auto"/>
          </w:divBdr>
        </w:div>
      </w:divsChild>
    </w:div>
    <w:div w:id="1125124336">
      <w:bodyDiv w:val="1"/>
      <w:marLeft w:val="0"/>
      <w:marRight w:val="0"/>
      <w:marTop w:val="0"/>
      <w:marBottom w:val="0"/>
      <w:divBdr>
        <w:top w:val="none" w:sz="0" w:space="0" w:color="auto"/>
        <w:left w:val="none" w:sz="0" w:space="0" w:color="auto"/>
        <w:bottom w:val="none" w:sz="0" w:space="0" w:color="auto"/>
        <w:right w:val="none" w:sz="0" w:space="0" w:color="auto"/>
      </w:divBdr>
    </w:div>
    <w:div w:id="1176454694">
      <w:bodyDiv w:val="1"/>
      <w:marLeft w:val="0"/>
      <w:marRight w:val="0"/>
      <w:marTop w:val="0"/>
      <w:marBottom w:val="0"/>
      <w:divBdr>
        <w:top w:val="none" w:sz="0" w:space="0" w:color="auto"/>
        <w:left w:val="none" w:sz="0" w:space="0" w:color="auto"/>
        <w:bottom w:val="none" w:sz="0" w:space="0" w:color="auto"/>
        <w:right w:val="none" w:sz="0" w:space="0" w:color="auto"/>
      </w:divBdr>
      <w:divsChild>
        <w:div w:id="1565791906">
          <w:marLeft w:val="0"/>
          <w:marRight w:val="0"/>
          <w:marTop w:val="0"/>
          <w:marBottom w:val="0"/>
          <w:divBdr>
            <w:top w:val="none" w:sz="0" w:space="0" w:color="auto"/>
            <w:left w:val="none" w:sz="0" w:space="0" w:color="auto"/>
            <w:bottom w:val="none" w:sz="0" w:space="0" w:color="auto"/>
            <w:right w:val="none" w:sz="0" w:space="0" w:color="auto"/>
          </w:divBdr>
          <w:divsChild>
            <w:div w:id="1780955085">
              <w:marLeft w:val="0"/>
              <w:marRight w:val="0"/>
              <w:marTop w:val="0"/>
              <w:marBottom w:val="0"/>
              <w:divBdr>
                <w:top w:val="none" w:sz="0" w:space="0" w:color="auto"/>
                <w:left w:val="none" w:sz="0" w:space="0" w:color="auto"/>
                <w:bottom w:val="none" w:sz="0" w:space="0" w:color="auto"/>
                <w:right w:val="none" w:sz="0" w:space="0" w:color="auto"/>
              </w:divBdr>
              <w:divsChild>
                <w:div w:id="2109158183">
                  <w:marLeft w:val="0"/>
                  <w:marRight w:val="0"/>
                  <w:marTop w:val="0"/>
                  <w:marBottom w:val="0"/>
                  <w:divBdr>
                    <w:top w:val="none" w:sz="0" w:space="0" w:color="auto"/>
                    <w:left w:val="none" w:sz="0" w:space="0" w:color="auto"/>
                    <w:bottom w:val="none" w:sz="0" w:space="0" w:color="auto"/>
                    <w:right w:val="none" w:sz="0" w:space="0" w:color="auto"/>
                  </w:divBdr>
                  <w:divsChild>
                    <w:div w:id="827138584">
                      <w:marLeft w:val="0"/>
                      <w:marRight w:val="0"/>
                      <w:marTop w:val="0"/>
                      <w:marBottom w:val="0"/>
                      <w:divBdr>
                        <w:top w:val="none" w:sz="0" w:space="0" w:color="auto"/>
                        <w:left w:val="none" w:sz="0" w:space="0" w:color="auto"/>
                        <w:bottom w:val="none" w:sz="0" w:space="0" w:color="auto"/>
                        <w:right w:val="none" w:sz="0" w:space="0" w:color="auto"/>
                      </w:divBdr>
                      <w:divsChild>
                        <w:div w:id="202407522">
                          <w:marLeft w:val="0"/>
                          <w:marRight w:val="0"/>
                          <w:marTop w:val="0"/>
                          <w:marBottom w:val="0"/>
                          <w:divBdr>
                            <w:top w:val="none" w:sz="0" w:space="0" w:color="auto"/>
                            <w:left w:val="none" w:sz="0" w:space="0" w:color="auto"/>
                            <w:bottom w:val="none" w:sz="0" w:space="0" w:color="auto"/>
                            <w:right w:val="none" w:sz="0" w:space="0" w:color="auto"/>
                          </w:divBdr>
                          <w:divsChild>
                            <w:div w:id="16731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242513">
      <w:bodyDiv w:val="1"/>
      <w:marLeft w:val="0"/>
      <w:marRight w:val="0"/>
      <w:marTop w:val="0"/>
      <w:marBottom w:val="0"/>
      <w:divBdr>
        <w:top w:val="none" w:sz="0" w:space="0" w:color="auto"/>
        <w:left w:val="none" w:sz="0" w:space="0" w:color="auto"/>
        <w:bottom w:val="none" w:sz="0" w:space="0" w:color="auto"/>
        <w:right w:val="none" w:sz="0" w:space="0" w:color="auto"/>
      </w:divBdr>
      <w:divsChild>
        <w:div w:id="2129885981">
          <w:marLeft w:val="0"/>
          <w:marRight w:val="0"/>
          <w:marTop w:val="0"/>
          <w:marBottom w:val="0"/>
          <w:divBdr>
            <w:top w:val="none" w:sz="0" w:space="0" w:color="auto"/>
            <w:left w:val="none" w:sz="0" w:space="0" w:color="auto"/>
            <w:bottom w:val="none" w:sz="0" w:space="0" w:color="auto"/>
            <w:right w:val="none" w:sz="0" w:space="0" w:color="auto"/>
          </w:divBdr>
        </w:div>
      </w:divsChild>
    </w:div>
    <w:div w:id="1260404749">
      <w:bodyDiv w:val="1"/>
      <w:marLeft w:val="0"/>
      <w:marRight w:val="0"/>
      <w:marTop w:val="0"/>
      <w:marBottom w:val="0"/>
      <w:divBdr>
        <w:top w:val="none" w:sz="0" w:space="0" w:color="auto"/>
        <w:left w:val="none" w:sz="0" w:space="0" w:color="auto"/>
        <w:bottom w:val="none" w:sz="0" w:space="0" w:color="auto"/>
        <w:right w:val="none" w:sz="0" w:space="0" w:color="auto"/>
      </w:divBdr>
    </w:div>
    <w:div w:id="1294872759">
      <w:bodyDiv w:val="1"/>
      <w:marLeft w:val="0"/>
      <w:marRight w:val="0"/>
      <w:marTop w:val="0"/>
      <w:marBottom w:val="0"/>
      <w:divBdr>
        <w:top w:val="none" w:sz="0" w:space="0" w:color="auto"/>
        <w:left w:val="none" w:sz="0" w:space="0" w:color="auto"/>
        <w:bottom w:val="none" w:sz="0" w:space="0" w:color="auto"/>
        <w:right w:val="none" w:sz="0" w:space="0" w:color="auto"/>
      </w:divBdr>
    </w:div>
    <w:div w:id="1327708232">
      <w:bodyDiv w:val="1"/>
      <w:marLeft w:val="0"/>
      <w:marRight w:val="0"/>
      <w:marTop w:val="0"/>
      <w:marBottom w:val="0"/>
      <w:divBdr>
        <w:top w:val="none" w:sz="0" w:space="0" w:color="auto"/>
        <w:left w:val="none" w:sz="0" w:space="0" w:color="auto"/>
        <w:bottom w:val="none" w:sz="0" w:space="0" w:color="auto"/>
        <w:right w:val="none" w:sz="0" w:space="0" w:color="auto"/>
      </w:divBdr>
      <w:divsChild>
        <w:div w:id="1384327049">
          <w:marLeft w:val="547"/>
          <w:marRight w:val="0"/>
          <w:marTop w:val="0"/>
          <w:marBottom w:val="0"/>
          <w:divBdr>
            <w:top w:val="none" w:sz="0" w:space="0" w:color="auto"/>
            <w:left w:val="none" w:sz="0" w:space="0" w:color="auto"/>
            <w:bottom w:val="none" w:sz="0" w:space="0" w:color="auto"/>
            <w:right w:val="none" w:sz="0" w:space="0" w:color="auto"/>
          </w:divBdr>
        </w:div>
      </w:divsChild>
    </w:div>
    <w:div w:id="1343626046">
      <w:bodyDiv w:val="1"/>
      <w:marLeft w:val="0"/>
      <w:marRight w:val="0"/>
      <w:marTop w:val="0"/>
      <w:marBottom w:val="0"/>
      <w:divBdr>
        <w:top w:val="none" w:sz="0" w:space="0" w:color="auto"/>
        <w:left w:val="none" w:sz="0" w:space="0" w:color="auto"/>
        <w:bottom w:val="none" w:sz="0" w:space="0" w:color="auto"/>
        <w:right w:val="none" w:sz="0" w:space="0" w:color="auto"/>
      </w:divBdr>
    </w:div>
    <w:div w:id="1419137649">
      <w:bodyDiv w:val="1"/>
      <w:marLeft w:val="0"/>
      <w:marRight w:val="0"/>
      <w:marTop w:val="0"/>
      <w:marBottom w:val="0"/>
      <w:divBdr>
        <w:top w:val="none" w:sz="0" w:space="0" w:color="auto"/>
        <w:left w:val="none" w:sz="0" w:space="0" w:color="auto"/>
        <w:bottom w:val="none" w:sz="0" w:space="0" w:color="auto"/>
        <w:right w:val="none" w:sz="0" w:space="0" w:color="auto"/>
      </w:divBdr>
    </w:div>
    <w:div w:id="1426804441">
      <w:bodyDiv w:val="1"/>
      <w:marLeft w:val="0"/>
      <w:marRight w:val="0"/>
      <w:marTop w:val="0"/>
      <w:marBottom w:val="0"/>
      <w:divBdr>
        <w:top w:val="none" w:sz="0" w:space="0" w:color="auto"/>
        <w:left w:val="none" w:sz="0" w:space="0" w:color="auto"/>
        <w:bottom w:val="none" w:sz="0" w:space="0" w:color="auto"/>
        <w:right w:val="none" w:sz="0" w:space="0" w:color="auto"/>
      </w:divBdr>
    </w:div>
    <w:div w:id="1431657532">
      <w:bodyDiv w:val="1"/>
      <w:marLeft w:val="0"/>
      <w:marRight w:val="0"/>
      <w:marTop w:val="0"/>
      <w:marBottom w:val="0"/>
      <w:divBdr>
        <w:top w:val="none" w:sz="0" w:space="0" w:color="auto"/>
        <w:left w:val="none" w:sz="0" w:space="0" w:color="auto"/>
        <w:bottom w:val="none" w:sz="0" w:space="0" w:color="auto"/>
        <w:right w:val="none" w:sz="0" w:space="0" w:color="auto"/>
      </w:divBdr>
      <w:divsChild>
        <w:div w:id="221215198">
          <w:marLeft w:val="0"/>
          <w:marRight w:val="0"/>
          <w:marTop w:val="0"/>
          <w:marBottom w:val="0"/>
          <w:divBdr>
            <w:top w:val="none" w:sz="0" w:space="0" w:color="auto"/>
            <w:left w:val="none" w:sz="0" w:space="0" w:color="auto"/>
            <w:bottom w:val="none" w:sz="0" w:space="0" w:color="auto"/>
            <w:right w:val="none" w:sz="0" w:space="0" w:color="auto"/>
          </w:divBdr>
        </w:div>
      </w:divsChild>
    </w:div>
    <w:div w:id="1446921634">
      <w:bodyDiv w:val="1"/>
      <w:marLeft w:val="0"/>
      <w:marRight w:val="0"/>
      <w:marTop w:val="0"/>
      <w:marBottom w:val="0"/>
      <w:divBdr>
        <w:top w:val="none" w:sz="0" w:space="0" w:color="auto"/>
        <w:left w:val="none" w:sz="0" w:space="0" w:color="auto"/>
        <w:bottom w:val="none" w:sz="0" w:space="0" w:color="auto"/>
        <w:right w:val="none" w:sz="0" w:space="0" w:color="auto"/>
      </w:divBdr>
    </w:div>
    <w:div w:id="1450468974">
      <w:bodyDiv w:val="1"/>
      <w:marLeft w:val="0"/>
      <w:marRight w:val="0"/>
      <w:marTop w:val="0"/>
      <w:marBottom w:val="0"/>
      <w:divBdr>
        <w:top w:val="none" w:sz="0" w:space="0" w:color="auto"/>
        <w:left w:val="none" w:sz="0" w:space="0" w:color="auto"/>
        <w:bottom w:val="none" w:sz="0" w:space="0" w:color="auto"/>
        <w:right w:val="none" w:sz="0" w:space="0" w:color="auto"/>
      </w:divBdr>
      <w:divsChild>
        <w:div w:id="1288928736">
          <w:marLeft w:val="547"/>
          <w:marRight w:val="0"/>
          <w:marTop w:val="0"/>
          <w:marBottom w:val="0"/>
          <w:divBdr>
            <w:top w:val="none" w:sz="0" w:space="0" w:color="auto"/>
            <w:left w:val="none" w:sz="0" w:space="0" w:color="auto"/>
            <w:bottom w:val="none" w:sz="0" w:space="0" w:color="auto"/>
            <w:right w:val="none" w:sz="0" w:space="0" w:color="auto"/>
          </w:divBdr>
        </w:div>
        <w:div w:id="1534462308">
          <w:marLeft w:val="547"/>
          <w:marRight w:val="0"/>
          <w:marTop w:val="0"/>
          <w:marBottom w:val="0"/>
          <w:divBdr>
            <w:top w:val="none" w:sz="0" w:space="0" w:color="auto"/>
            <w:left w:val="none" w:sz="0" w:space="0" w:color="auto"/>
            <w:bottom w:val="none" w:sz="0" w:space="0" w:color="auto"/>
            <w:right w:val="none" w:sz="0" w:space="0" w:color="auto"/>
          </w:divBdr>
        </w:div>
        <w:div w:id="1833181979">
          <w:marLeft w:val="547"/>
          <w:marRight w:val="0"/>
          <w:marTop w:val="0"/>
          <w:marBottom w:val="0"/>
          <w:divBdr>
            <w:top w:val="none" w:sz="0" w:space="0" w:color="auto"/>
            <w:left w:val="none" w:sz="0" w:space="0" w:color="auto"/>
            <w:bottom w:val="none" w:sz="0" w:space="0" w:color="auto"/>
            <w:right w:val="none" w:sz="0" w:space="0" w:color="auto"/>
          </w:divBdr>
        </w:div>
        <w:div w:id="321660181">
          <w:marLeft w:val="547"/>
          <w:marRight w:val="0"/>
          <w:marTop w:val="0"/>
          <w:marBottom w:val="0"/>
          <w:divBdr>
            <w:top w:val="none" w:sz="0" w:space="0" w:color="auto"/>
            <w:left w:val="none" w:sz="0" w:space="0" w:color="auto"/>
            <w:bottom w:val="none" w:sz="0" w:space="0" w:color="auto"/>
            <w:right w:val="none" w:sz="0" w:space="0" w:color="auto"/>
          </w:divBdr>
        </w:div>
        <w:div w:id="1707022019">
          <w:marLeft w:val="547"/>
          <w:marRight w:val="0"/>
          <w:marTop w:val="0"/>
          <w:marBottom w:val="0"/>
          <w:divBdr>
            <w:top w:val="none" w:sz="0" w:space="0" w:color="auto"/>
            <w:left w:val="none" w:sz="0" w:space="0" w:color="auto"/>
            <w:bottom w:val="none" w:sz="0" w:space="0" w:color="auto"/>
            <w:right w:val="none" w:sz="0" w:space="0" w:color="auto"/>
          </w:divBdr>
        </w:div>
        <w:div w:id="1024748357">
          <w:marLeft w:val="547"/>
          <w:marRight w:val="0"/>
          <w:marTop w:val="0"/>
          <w:marBottom w:val="0"/>
          <w:divBdr>
            <w:top w:val="none" w:sz="0" w:space="0" w:color="auto"/>
            <w:left w:val="none" w:sz="0" w:space="0" w:color="auto"/>
            <w:bottom w:val="none" w:sz="0" w:space="0" w:color="auto"/>
            <w:right w:val="none" w:sz="0" w:space="0" w:color="auto"/>
          </w:divBdr>
        </w:div>
        <w:div w:id="817305648">
          <w:marLeft w:val="547"/>
          <w:marRight w:val="0"/>
          <w:marTop w:val="0"/>
          <w:marBottom w:val="0"/>
          <w:divBdr>
            <w:top w:val="none" w:sz="0" w:space="0" w:color="auto"/>
            <w:left w:val="none" w:sz="0" w:space="0" w:color="auto"/>
            <w:bottom w:val="none" w:sz="0" w:space="0" w:color="auto"/>
            <w:right w:val="none" w:sz="0" w:space="0" w:color="auto"/>
          </w:divBdr>
        </w:div>
        <w:div w:id="1932858345">
          <w:marLeft w:val="547"/>
          <w:marRight w:val="0"/>
          <w:marTop w:val="0"/>
          <w:marBottom w:val="0"/>
          <w:divBdr>
            <w:top w:val="none" w:sz="0" w:space="0" w:color="auto"/>
            <w:left w:val="none" w:sz="0" w:space="0" w:color="auto"/>
            <w:bottom w:val="none" w:sz="0" w:space="0" w:color="auto"/>
            <w:right w:val="none" w:sz="0" w:space="0" w:color="auto"/>
          </w:divBdr>
        </w:div>
      </w:divsChild>
    </w:div>
    <w:div w:id="1489982110">
      <w:bodyDiv w:val="1"/>
      <w:marLeft w:val="0"/>
      <w:marRight w:val="0"/>
      <w:marTop w:val="0"/>
      <w:marBottom w:val="0"/>
      <w:divBdr>
        <w:top w:val="none" w:sz="0" w:space="0" w:color="auto"/>
        <w:left w:val="none" w:sz="0" w:space="0" w:color="auto"/>
        <w:bottom w:val="none" w:sz="0" w:space="0" w:color="auto"/>
        <w:right w:val="none" w:sz="0" w:space="0" w:color="auto"/>
      </w:divBdr>
    </w:div>
    <w:div w:id="1521427807">
      <w:bodyDiv w:val="1"/>
      <w:marLeft w:val="0"/>
      <w:marRight w:val="0"/>
      <w:marTop w:val="0"/>
      <w:marBottom w:val="0"/>
      <w:divBdr>
        <w:top w:val="none" w:sz="0" w:space="0" w:color="auto"/>
        <w:left w:val="none" w:sz="0" w:space="0" w:color="auto"/>
        <w:bottom w:val="none" w:sz="0" w:space="0" w:color="auto"/>
        <w:right w:val="none" w:sz="0" w:space="0" w:color="auto"/>
      </w:divBdr>
    </w:div>
    <w:div w:id="1567448995">
      <w:bodyDiv w:val="1"/>
      <w:marLeft w:val="0"/>
      <w:marRight w:val="0"/>
      <w:marTop w:val="0"/>
      <w:marBottom w:val="0"/>
      <w:divBdr>
        <w:top w:val="none" w:sz="0" w:space="0" w:color="auto"/>
        <w:left w:val="none" w:sz="0" w:space="0" w:color="auto"/>
        <w:bottom w:val="none" w:sz="0" w:space="0" w:color="auto"/>
        <w:right w:val="none" w:sz="0" w:space="0" w:color="auto"/>
      </w:divBdr>
      <w:divsChild>
        <w:div w:id="620190230">
          <w:marLeft w:val="547"/>
          <w:marRight w:val="0"/>
          <w:marTop w:val="0"/>
          <w:marBottom w:val="0"/>
          <w:divBdr>
            <w:top w:val="none" w:sz="0" w:space="0" w:color="auto"/>
            <w:left w:val="none" w:sz="0" w:space="0" w:color="auto"/>
            <w:bottom w:val="none" w:sz="0" w:space="0" w:color="auto"/>
            <w:right w:val="none" w:sz="0" w:space="0" w:color="auto"/>
          </w:divBdr>
        </w:div>
        <w:div w:id="1468358952">
          <w:marLeft w:val="547"/>
          <w:marRight w:val="0"/>
          <w:marTop w:val="0"/>
          <w:marBottom w:val="0"/>
          <w:divBdr>
            <w:top w:val="none" w:sz="0" w:space="0" w:color="auto"/>
            <w:left w:val="none" w:sz="0" w:space="0" w:color="auto"/>
            <w:bottom w:val="none" w:sz="0" w:space="0" w:color="auto"/>
            <w:right w:val="none" w:sz="0" w:space="0" w:color="auto"/>
          </w:divBdr>
        </w:div>
        <w:div w:id="435947094">
          <w:marLeft w:val="547"/>
          <w:marRight w:val="0"/>
          <w:marTop w:val="0"/>
          <w:marBottom w:val="0"/>
          <w:divBdr>
            <w:top w:val="none" w:sz="0" w:space="0" w:color="auto"/>
            <w:left w:val="none" w:sz="0" w:space="0" w:color="auto"/>
            <w:bottom w:val="none" w:sz="0" w:space="0" w:color="auto"/>
            <w:right w:val="none" w:sz="0" w:space="0" w:color="auto"/>
          </w:divBdr>
        </w:div>
        <w:div w:id="1683627206">
          <w:marLeft w:val="547"/>
          <w:marRight w:val="0"/>
          <w:marTop w:val="0"/>
          <w:marBottom w:val="0"/>
          <w:divBdr>
            <w:top w:val="none" w:sz="0" w:space="0" w:color="auto"/>
            <w:left w:val="none" w:sz="0" w:space="0" w:color="auto"/>
            <w:bottom w:val="none" w:sz="0" w:space="0" w:color="auto"/>
            <w:right w:val="none" w:sz="0" w:space="0" w:color="auto"/>
          </w:divBdr>
        </w:div>
      </w:divsChild>
    </w:div>
    <w:div w:id="1604530985">
      <w:bodyDiv w:val="1"/>
      <w:marLeft w:val="0"/>
      <w:marRight w:val="0"/>
      <w:marTop w:val="0"/>
      <w:marBottom w:val="0"/>
      <w:divBdr>
        <w:top w:val="none" w:sz="0" w:space="0" w:color="auto"/>
        <w:left w:val="none" w:sz="0" w:space="0" w:color="auto"/>
        <w:bottom w:val="none" w:sz="0" w:space="0" w:color="auto"/>
        <w:right w:val="none" w:sz="0" w:space="0" w:color="auto"/>
      </w:divBdr>
    </w:div>
    <w:div w:id="1664354593">
      <w:bodyDiv w:val="1"/>
      <w:marLeft w:val="0"/>
      <w:marRight w:val="0"/>
      <w:marTop w:val="0"/>
      <w:marBottom w:val="0"/>
      <w:divBdr>
        <w:top w:val="none" w:sz="0" w:space="0" w:color="auto"/>
        <w:left w:val="none" w:sz="0" w:space="0" w:color="auto"/>
        <w:bottom w:val="none" w:sz="0" w:space="0" w:color="auto"/>
        <w:right w:val="none" w:sz="0" w:space="0" w:color="auto"/>
      </w:divBdr>
      <w:divsChild>
        <w:div w:id="122358638">
          <w:marLeft w:val="547"/>
          <w:marRight w:val="0"/>
          <w:marTop w:val="0"/>
          <w:marBottom w:val="0"/>
          <w:divBdr>
            <w:top w:val="none" w:sz="0" w:space="0" w:color="auto"/>
            <w:left w:val="none" w:sz="0" w:space="0" w:color="auto"/>
            <w:bottom w:val="none" w:sz="0" w:space="0" w:color="auto"/>
            <w:right w:val="none" w:sz="0" w:space="0" w:color="auto"/>
          </w:divBdr>
        </w:div>
        <w:div w:id="954289989">
          <w:marLeft w:val="1166"/>
          <w:marRight w:val="0"/>
          <w:marTop w:val="0"/>
          <w:marBottom w:val="0"/>
          <w:divBdr>
            <w:top w:val="none" w:sz="0" w:space="0" w:color="auto"/>
            <w:left w:val="none" w:sz="0" w:space="0" w:color="auto"/>
            <w:bottom w:val="none" w:sz="0" w:space="0" w:color="auto"/>
            <w:right w:val="none" w:sz="0" w:space="0" w:color="auto"/>
          </w:divBdr>
        </w:div>
        <w:div w:id="1261333937">
          <w:marLeft w:val="1166"/>
          <w:marRight w:val="0"/>
          <w:marTop w:val="0"/>
          <w:marBottom w:val="0"/>
          <w:divBdr>
            <w:top w:val="none" w:sz="0" w:space="0" w:color="auto"/>
            <w:left w:val="none" w:sz="0" w:space="0" w:color="auto"/>
            <w:bottom w:val="none" w:sz="0" w:space="0" w:color="auto"/>
            <w:right w:val="none" w:sz="0" w:space="0" w:color="auto"/>
          </w:divBdr>
        </w:div>
        <w:div w:id="1288849619">
          <w:marLeft w:val="1166"/>
          <w:marRight w:val="0"/>
          <w:marTop w:val="0"/>
          <w:marBottom w:val="0"/>
          <w:divBdr>
            <w:top w:val="none" w:sz="0" w:space="0" w:color="auto"/>
            <w:left w:val="none" w:sz="0" w:space="0" w:color="auto"/>
            <w:bottom w:val="none" w:sz="0" w:space="0" w:color="auto"/>
            <w:right w:val="none" w:sz="0" w:space="0" w:color="auto"/>
          </w:divBdr>
        </w:div>
        <w:div w:id="1836527155">
          <w:marLeft w:val="1166"/>
          <w:marRight w:val="0"/>
          <w:marTop w:val="0"/>
          <w:marBottom w:val="0"/>
          <w:divBdr>
            <w:top w:val="none" w:sz="0" w:space="0" w:color="auto"/>
            <w:left w:val="none" w:sz="0" w:space="0" w:color="auto"/>
            <w:bottom w:val="none" w:sz="0" w:space="0" w:color="auto"/>
            <w:right w:val="none" w:sz="0" w:space="0" w:color="auto"/>
          </w:divBdr>
        </w:div>
      </w:divsChild>
    </w:div>
    <w:div w:id="1664501852">
      <w:bodyDiv w:val="1"/>
      <w:marLeft w:val="0"/>
      <w:marRight w:val="0"/>
      <w:marTop w:val="0"/>
      <w:marBottom w:val="0"/>
      <w:divBdr>
        <w:top w:val="none" w:sz="0" w:space="0" w:color="auto"/>
        <w:left w:val="none" w:sz="0" w:space="0" w:color="auto"/>
        <w:bottom w:val="none" w:sz="0" w:space="0" w:color="auto"/>
        <w:right w:val="none" w:sz="0" w:space="0" w:color="auto"/>
      </w:divBdr>
    </w:div>
    <w:div w:id="1665470129">
      <w:bodyDiv w:val="1"/>
      <w:marLeft w:val="0"/>
      <w:marRight w:val="0"/>
      <w:marTop w:val="0"/>
      <w:marBottom w:val="0"/>
      <w:divBdr>
        <w:top w:val="none" w:sz="0" w:space="0" w:color="auto"/>
        <w:left w:val="none" w:sz="0" w:space="0" w:color="auto"/>
        <w:bottom w:val="none" w:sz="0" w:space="0" w:color="auto"/>
        <w:right w:val="none" w:sz="0" w:space="0" w:color="auto"/>
      </w:divBdr>
    </w:div>
    <w:div w:id="1749762919">
      <w:bodyDiv w:val="1"/>
      <w:marLeft w:val="0"/>
      <w:marRight w:val="0"/>
      <w:marTop w:val="0"/>
      <w:marBottom w:val="0"/>
      <w:divBdr>
        <w:top w:val="none" w:sz="0" w:space="0" w:color="auto"/>
        <w:left w:val="none" w:sz="0" w:space="0" w:color="auto"/>
        <w:bottom w:val="none" w:sz="0" w:space="0" w:color="auto"/>
        <w:right w:val="none" w:sz="0" w:space="0" w:color="auto"/>
      </w:divBdr>
    </w:div>
    <w:div w:id="1751999004">
      <w:bodyDiv w:val="1"/>
      <w:marLeft w:val="0"/>
      <w:marRight w:val="0"/>
      <w:marTop w:val="0"/>
      <w:marBottom w:val="0"/>
      <w:divBdr>
        <w:top w:val="none" w:sz="0" w:space="0" w:color="auto"/>
        <w:left w:val="none" w:sz="0" w:space="0" w:color="auto"/>
        <w:bottom w:val="none" w:sz="0" w:space="0" w:color="auto"/>
        <w:right w:val="none" w:sz="0" w:space="0" w:color="auto"/>
      </w:divBdr>
    </w:div>
    <w:div w:id="176221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294">
          <w:marLeft w:val="0"/>
          <w:marRight w:val="0"/>
          <w:marTop w:val="0"/>
          <w:marBottom w:val="0"/>
          <w:divBdr>
            <w:top w:val="none" w:sz="0" w:space="0" w:color="auto"/>
            <w:left w:val="none" w:sz="0" w:space="0" w:color="auto"/>
            <w:bottom w:val="none" w:sz="0" w:space="0" w:color="auto"/>
            <w:right w:val="none" w:sz="0" w:space="0" w:color="auto"/>
          </w:divBdr>
        </w:div>
      </w:divsChild>
    </w:div>
    <w:div w:id="1808088006">
      <w:bodyDiv w:val="1"/>
      <w:marLeft w:val="0"/>
      <w:marRight w:val="0"/>
      <w:marTop w:val="0"/>
      <w:marBottom w:val="0"/>
      <w:divBdr>
        <w:top w:val="none" w:sz="0" w:space="0" w:color="auto"/>
        <w:left w:val="none" w:sz="0" w:space="0" w:color="auto"/>
        <w:bottom w:val="none" w:sz="0" w:space="0" w:color="auto"/>
        <w:right w:val="none" w:sz="0" w:space="0" w:color="auto"/>
      </w:divBdr>
    </w:div>
    <w:div w:id="1811901797">
      <w:bodyDiv w:val="1"/>
      <w:marLeft w:val="0"/>
      <w:marRight w:val="0"/>
      <w:marTop w:val="0"/>
      <w:marBottom w:val="0"/>
      <w:divBdr>
        <w:top w:val="none" w:sz="0" w:space="0" w:color="auto"/>
        <w:left w:val="none" w:sz="0" w:space="0" w:color="auto"/>
        <w:bottom w:val="none" w:sz="0" w:space="0" w:color="auto"/>
        <w:right w:val="none" w:sz="0" w:space="0" w:color="auto"/>
      </w:divBdr>
    </w:div>
    <w:div w:id="1845128244">
      <w:bodyDiv w:val="1"/>
      <w:marLeft w:val="0"/>
      <w:marRight w:val="0"/>
      <w:marTop w:val="0"/>
      <w:marBottom w:val="0"/>
      <w:divBdr>
        <w:top w:val="none" w:sz="0" w:space="0" w:color="auto"/>
        <w:left w:val="none" w:sz="0" w:space="0" w:color="auto"/>
        <w:bottom w:val="none" w:sz="0" w:space="0" w:color="auto"/>
        <w:right w:val="none" w:sz="0" w:space="0" w:color="auto"/>
      </w:divBdr>
    </w:div>
    <w:div w:id="1851487561">
      <w:bodyDiv w:val="1"/>
      <w:marLeft w:val="0"/>
      <w:marRight w:val="0"/>
      <w:marTop w:val="0"/>
      <w:marBottom w:val="0"/>
      <w:divBdr>
        <w:top w:val="none" w:sz="0" w:space="0" w:color="auto"/>
        <w:left w:val="none" w:sz="0" w:space="0" w:color="auto"/>
        <w:bottom w:val="none" w:sz="0" w:space="0" w:color="auto"/>
        <w:right w:val="none" w:sz="0" w:space="0" w:color="auto"/>
      </w:divBdr>
      <w:divsChild>
        <w:div w:id="116029391">
          <w:marLeft w:val="806"/>
          <w:marRight w:val="0"/>
          <w:marTop w:val="360"/>
          <w:marBottom w:val="0"/>
          <w:divBdr>
            <w:top w:val="none" w:sz="0" w:space="0" w:color="auto"/>
            <w:left w:val="none" w:sz="0" w:space="0" w:color="auto"/>
            <w:bottom w:val="none" w:sz="0" w:space="0" w:color="auto"/>
            <w:right w:val="none" w:sz="0" w:space="0" w:color="auto"/>
          </w:divBdr>
        </w:div>
        <w:div w:id="1012344216">
          <w:marLeft w:val="806"/>
          <w:marRight w:val="0"/>
          <w:marTop w:val="360"/>
          <w:marBottom w:val="0"/>
          <w:divBdr>
            <w:top w:val="none" w:sz="0" w:space="0" w:color="auto"/>
            <w:left w:val="none" w:sz="0" w:space="0" w:color="auto"/>
            <w:bottom w:val="none" w:sz="0" w:space="0" w:color="auto"/>
            <w:right w:val="none" w:sz="0" w:space="0" w:color="auto"/>
          </w:divBdr>
        </w:div>
        <w:div w:id="822084187">
          <w:marLeft w:val="806"/>
          <w:marRight w:val="0"/>
          <w:marTop w:val="360"/>
          <w:marBottom w:val="0"/>
          <w:divBdr>
            <w:top w:val="none" w:sz="0" w:space="0" w:color="auto"/>
            <w:left w:val="none" w:sz="0" w:space="0" w:color="auto"/>
            <w:bottom w:val="none" w:sz="0" w:space="0" w:color="auto"/>
            <w:right w:val="none" w:sz="0" w:space="0" w:color="auto"/>
          </w:divBdr>
        </w:div>
      </w:divsChild>
    </w:div>
    <w:div w:id="1918393322">
      <w:bodyDiv w:val="1"/>
      <w:marLeft w:val="0"/>
      <w:marRight w:val="0"/>
      <w:marTop w:val="0"/>
      <w:marBottom w:val="0"/>
      <w:divBdr>
        <w:top w:val="none" w:sz="0" w:space="0" w:color="auto"/>
        <w:left w:val="none" w:sz="0" w:space="0" w:color="auto"/>
        <w:bottom w:val="none" w:sz="0" w:space="0" w:color="auto"/>
        <w:right w:val="none" w:sz="0" w:space="0" w:color="auto"/>
      </w:divBdr>
    </w:div>
    <w:div w:id="1923640500">
      <w:bodyDiv w:val="1"/>
      <w:marLeft w:val="0"/>
      <w:marRight w:val="0"/>
      <w:marTop w:val="0"/>
      <w:marBottom w:val="0"/>
      <w:divBdr>
        <w:top w:val="none" w:sz="0" w:space="0" w:color="auto"/>
        <w:left w:val="none" w:sz="0" w:space="0" w:color="auto"/>
        <w:bottom w:val="none" w:sz="0" w:space="0" w:color="auto"/>
        <w:right w:val="none" w:sz="0" w:space="0" w:color="auto"/>
      </w:divBdr>
    </w:div>
    <w:div w:id="1951551272">
      <w:bodyDiv w:val="1"/>
      <w:marLeft w:val="0"/>
      <w:marRight w:val="0"/>
      <w:marTop w:val="0"/>
      <w:marBottom w:val="0"/>
      <w:divBdr>
        <w:top w:val="none" w:sz="0" w:space="0" w:color="auto"/>
        <w:left w:val="none" w:sz="0" w:space="0" w:color="auto"/>
        <w:bottom w:val="none" w:sz="0" w:space="0" w:color="auto"/>
        <w:right w:val="none" w:sz="0" w:space="0" w:color="auto"/>
      </w:divBdr>
      <w:divsChild>
        <w:div w:id="340006618">
          <w:marLeft w:val="547"/>
          <w:marRight w:val="0"/>
          <w:marTop w:val="0"/>
          <w:marBottom w:val="0"/>
          <w:divBdr>
            <w:top w:val="none" w:sz="0" w:space="0" w:color="auto"/>
            <w:left w:val="none" w:sz="0" w:space="0" w:color="auto"/>
            <w:bottom w:val="none" w:sz="0" w:space="0" w:color="auto"/>
            <w:right w:val="none" w:sz="0" w:space="0" w:color="auto"/>
          </w:divBdr>
        </w:div>
        <w:div w:id="1484159604">
          <w:marLeft w:val="547"/>
          <w:marRight w:val="0"/>
          <w:marTop w:val="0"/>
          <w:marBottom w:val="0"/>
          <w:divBdr>
            <w:top w:val="none" w:sz="0" w:space="0" w:color="auto"/>
            <w:left w:val="none" w:sz="0" w:space="0" w:color="auto"/>
            <w:bottom w:val="none" w:sz="0" w:space="0" w:color="auto"/>
            <w:right w:val="none" w:sz="0" w:space="0" w:color="auto"/>
          </w:divBdr>
        </w:div>
        <w:div w:id="2059931158">
          <w:marLeft w:val="547"/>
          <w:marRight w:val="0"/>
          <w:marTop w:val="0"/>
          <w:marBottom w:val="0"/>
          <w:divBdr>
            <w:top w:val="none" w:sz="0" w:space="0" w:color="auto"/>
            <w:left w:val="none" w:sz="0" w:space="0" w:color="auto"/>
            <w:bottom w:val="none" w:sz="0" w:space="0" w:color="auto"/>
            <w:right w:val="none" w:sz="0" w:space="0" w:color="auto"/>
          </w:divBdr>
        </w:div>
        <w:div w:id="2144620075">
          <w:marLeft w:val="547"/>
          <w:marRight w:val="0"/>
          <w:marTop w:val="0"/>
          <w:marBottom w:val="0"/>
          <w:divBdr>
            <w:top w:val="none" w:sz="0" w:space="0" w:color="auto"/>
            <w:left w:val="none" w:sz="0" w:space="0" w:color="auto"/>
            <w:bottom w:val="none" w:sz="0" w:space="0" w:color="auto"/>
            <w:right w:val="none" w:sz="0" w:space="0" w:color="auto"/>
          </w:divBdr>
        </w:div>
      </w:divsChild>
    </w:div>
    <w:div w:id="1952933355">
      <w:bodyDiv w:val="1"/>
      <w:marLeft w:val="0"/>
      <w:marRight w:val="0"/>
      <w:marTop w:val="0"/>
      <w:marBottom w:val="0"/>
      <w:divBdr>
        <w:top w:val="none" w:sz="0" w:space="0" w:color="auto"/>
        <w:left w:val="none" w:sz="0" w:space="0" w:color="auto"/>
        <w:bottom w:val="none" w:sz="0" w:space="0" w:color="auto"/>
        <w:right w:val="none" w:sz="0" w:space="0" w:color="auto"/>
      </w:divBdr>
      <w:divsChild>
        <w:div w:id="1932427129">
          <w:marLeft w:val="0"/>
          <w:marRight w:val="0"/>
          <w:marTop w:val="0"/>
          <w:marBottom w:val="0"/>
          <w:divBdr>
            <w:top w:val="none" w:sz="0" w:space="0" w:color="auto"/>
            <w:left w:val="none" w:sz="0" w:space="0" w:color="auto"/>
            <w:bottom w:val="none" w:sz="0" w:space="0" w:color="auto"/>
            <w:right w:val="none" w:sz="0" w:space="0" w:color="auto"/>
          </w:divBdr>
        </w:div>
      </w:divsChild>
    </w:div>
    <w:div w:id="1964532130">
      <w:bodyDiv w:val="1"/>
      <w:marLeft w:val="0"/>
      <w:marRight w:val="0"/>
      <w:marTop w:val="0"/>
      <w:marBottom w:val="0"/>
      <w:divBdr>
        <w:top w:val="none" w:sz="0" w:space="0" w:color="auto"/>
        <w:left w:val="none" w:sz="0" w:space="0" w:color="auto"/>
        <w:bottom w:val="none" w:sz="0" w:space="0" w:color="auto"/>
        <w:right w:val="none" w:sz="0" w:space="0" w:color="auto"/>
      </w:divBdr>
    </w:div>
    <w:div w:id="1994137790">
      <w:bodyDiv w:val="1"/>
      <w:marLeft w:val="0"/>
      <w:marRight w:val="0"/>
      <w:marTop w:val="0"/>
      <w:marBottom w:val="0"/>
      <w:divBdr>
        <w:top w:val="none" w:sz="0" w:space="0" w:color="auto"/>
        <w:left w:val="none" w:sz="0" w:space="0" w:color="auto"/>
        <w:bottom w:val="none" w:sz="0" w:space="0" w:color="auto"/>
        <w:right w:val="none" w:sz="0" w:space="0" w:color="auto"/>
      </w:divBdr>
    </w:div>
    <w:div w:id="2003847726">
      <w:bodyDiv w:val="1"/>
      <w:marLeft w:val="0"/>
      <w:marRight w:val="0"/>
      <w:marTop w:val="0"/>
      <w:marBottom w:val="0"/>
      <w:divBdr>
        <w:top w:val="none" w:sz="0" w:space="0" w:color="auto"/>
        <w:left w:val="none" w:sz="0" w:space="0" w:color="auto"/>
        <w:bottom w:val="none" w:sz="0" w:space="0" w:color="auto"/>
        <w:right w:val="none" w:sz="0" w:space="0" w:color="auto"/>
      </w:divBdr>
      <w:divsChild>
        <w:div w:id="378240212">
          <w:marLeft w:val="547"/>
          <w:marRight w:val="0"/>
          <w:marTop w:val="0"/>
          <w:marBottom w:val="0"/>
          <w:divBdr>
            <w:top w:val="none" w:sz="0" w:space="0" w:color="auto"/>
            <w:left w:val="none" w:sz="0" w:space="0" w:color="auto"/>
            <w:bottom w:val="none" w:sz="0" w:space="0" w:color="auto"/>
            <w:right w:val="none" w:sz="0" w:space="0" w:color="auto"/>
          </w:divBdr>
        </w:div>
      </w:divsChild>
    </w:div>
    <w:div w:id="2024017683">
      <w:bodyDiv w:val="1"/>
      <w:marLeft w:val="0"/>
      <w:marRight w:val="0"/>
      <w:marTop w:val="0"/>
      <w:marBottom w:val="0"/>
      <w:divBdr>
        <w:top w:val="none" w:sz="0" w:space="0" w:color="auto"/>
        <w:left w:val="none" w:sz="0" w:space="0" w:color="auto"/>
        <w:bottom w:val="none" w:sz="0" w:space="0" w:color="auto"/>
        <w:right w:val="none" w:sz="0" w:space="0" w:color="auto"/>
      </w:divBdr>
    </w:div>
    <w:div w:id="2035619410">
      <w:bodyDiv w:val="1"/>
      <w:marLeft w:val="0"/>
      <w:marRight w:val="0"/>
      <w:marTop w:val="0"/>
      <w:marBottom w:val="0"/>
      <w:divBdr>
        <w:top w:val="none" w:sz="0" w:space="0" w:color="auto"/>
        <w:left w:val="none" w:sz="0" w:space="0" w:color="auto"/>
        <w:bottom w:val="none" w:sz="0" w:space="0" w:color="auto"/>
        <w:right w:val="none" w:sz="0" w:space="0" w:color="auto"/>
      </w:divBdr>
    </w:div>
    <w:div w:id="2039037664">
      <w:bodyDiv w:val="1"/>
      <w:marLeft w:val="0"/>
      <w:marRight w:val="0"/>
      <w:marTop w:val="0"/>
      <w:marBottom w:val="0"/>
      <w:divBdr>
        <w:top w:val="none" w:sz="0" w:space="0" w:color="auto"/>
        <w:left w:val="none" w:sz="0" w:space="0" w:color="auto"/>
        <w:bottom w:val="none" w:sz="0" w:space="0" w:color="auto"/>
        <w:right w:val="none" w:sz="0" w:space="0" w:color="auto"/>
      </w:divBdr>
    </w:div>
    <w:div w:id="2093508204">
      <w:bodyDiv w:val="1"/>
      <w:marLeft w:val="0"/>
      <w:marRight w:val="0"/>
      <w:marTop w:val="0"/>
      <w:marBottom w:val="0"/>
      <w:divBdr>
        <w:top w:val="none" w:sz="0" w:space="0" w:color="auto"/>
        <w:left w:val="none" w:sz="0" w:space="0" w:color="auto"/>
        <w:bottom w:val="none" w:sz="0" w:space="0" w:color="auto"/>
        <w:right w:val="none" w:sz="0" w:space="0" w:color="auto"/>
      </w:divBdr>
    </w:div>
    <w:div w:id="210005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knowhownonprofit.org/organisation/impact/about-impact-and-evaluation/understanding-the-language" TargetMode="External"/><Relationship Id="rId2" Type="http://schemas.openxmlformats.org/officeDocument/2006/relationships/hyperlink" Target="https://www.sightforsurrey.org.uk" TargetMode="External"/><Relationship Id="rId1" Type="http://schemas.openxmlformats.org/officeDocument/2006/relationships/hyperlink" Target="https://rnib.org.uk/" TargetMode="External"/><Relationship Id="rId5" Type="http://schemas.openxmlformats.org/officeDocument/2006/relationships/hyperlink" Target="https://www.gov.uk/government/uploads/system/uploads/attachment_data/file/179379/magenta_book_combined.pdf.pdf" TargetMode="External"/><Relationship Id="rId4" Type="http://schemas.openxmlformats.org/officeDocument/2006/relationships/hyperlink" Target="https://knowhownonprofit.org/organisation/impact/about-impact-and-evaluation/understanding-the-languag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Goliath\UserDocuments\MRonca\My%20Documents\3.%20Working%20files\RNIB%20Cost%20avoidance\Cost%20tables%201%20and%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oliath\UserDocuments\MRonca\My%20Documents\3.%20Working%20files\RNIB%20Cost%20avoidance\Cost%20tables%201%20and%20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200" b="1" i="0" u="none" strike="noStrike" kern="1200" baseline="0">
                <a:solidFill>
                  <a:schemeClr val="tx2"/>
                </a:solidFill>
                <a:latin typeface="+mn-lt"/>
                <a:ea typeface="+mn-ea"/>
                <a:cs typeface="+mn-cs"/>
              </a:defRPr>
            </a:pPr>
            <a:r>
              <a:rPr lang="en-GB" sz="1400">
                <a:solidFill>
                  <a:sysClr val="windowText" lastClr="000000"/>
                </a:solidFill>
              </a:rPr>
              <a:t>Breakdown of staff costs by component</a:t>
            </a:r>
          </a:p>
        </c:rich>
      </c:tx>
      <c:layout>
        <c:manualLayout>
          <c:xMode val="edge"/>
          <c:yMode val="edge"/>
          <c:x val="1.9842305596019381E-2"/>
          <c:y val="1.2637477823259313E-2"/>
        </c:manualLayout>
      </c:layout>
      <c:overlay val="0"/>
      <c:spPr>
        <a:noFill/>
        <a:ln>
          <a:noFill/>
        </a:ln>
        <a:effectLst/>
      </c:spPr>
      <c:txPr>
        <a:bodyPr rot="0" spcFirstLastPara="1" vertOverflow="ellipsis" vert="horz" wrap="square" anchor="ctr" anchorCtr="1"/>
        <a:lstStyle/>
        <a:p>
          <a:pPr algn="l">
            <a:defRPr sz="12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0.29430743482880439"/>
          <c:y val="0.35799084502912243"/>
          <c:w val="0.39626586931137825"/>
          <c:h val="0.61645672377977445"/>
        </c:manualLayout>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solidFill>
                  <a:schemeClr val="bg1">
                    <a:lumMod val="10000"/>
                  </a:schemeClr>
                </a:solidFill>
              </a:ln>
              <a:effectLst/>
            </c:spPr>
            <c:extLst>
              <c:ext xmlns:c16="http://schemas.microsoft.com/office/drawing/2014/chart" uri="{C3380CC4-5D6E-409C-BE32-E72D297353CC}">
                <c16:uniqueId val="{00000001-D2B3-4F21-86FF-F6FD550979B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solidFill>
                  <a:schemeClr val="bg1">
                    <a:lumMod val="10000"/>
                  </a:schemeClr>
                </a:solidFill>
              </a:ln>
              <a:effectLst/>
            </c:spPr>
            <c:extLst>
              <c:ext xmlns:c16="http://schemas.microsoft.com/office/drawing/2014/chart" uri="{C3380CC4-5D6E-409C-BE32-E72D297353CC}">
                <c16:uniqueId val="{00000003-D2B3-4F21-86FF-F6FD550979B9}"/>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solidFill>
                  <a:schemeClr val="bg1">
                    <a:lumMod val="10000"/>
                  </a:schemeClr>
                </a:solidFill>
              </a:ln>
              <a:effectLst/>
            </c:spPr>
            <c:extLst>
              <c:ext xmlns:c16="http://schemas.microsoft.com/office/drawing/2014/chart" uri="{C3380CC4-5D6E-409C-BE32-E72D297353CC}">
                <c16:uniqueId val="{00000005-D2B3-4F21-86FF-F6FD550979B9}"/>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12700">
                <a:solidFill>
                  <a:schemeClr val="bg1">
                    <a:lumMod val="10000"/>
                  </a:schemeClr>
                </a:solidFill>
              </a:ln>
              <a:effectLst/>
            </c:spPr>
            <c:extLst>
              <c:ext xmlns:c16="http://schemas.microsoft.com/office/drawing/2014/chart" uri="{C3380CC4-5D6E-409C-BE32-E72D297353CC}">
                <c16:uniqueId val="{00000007-D2B3-4F21-86FF-F6FD550979B9}"/>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12700">
                <a:solidFill>
                  <a:schemeClr val="bg1">
                    <a:lumMod val="10000"/>
                  </a:schemeClr>
                </a:solidFill>
              </a:ln>
              <a:effectLst/>
            </c:spPr>
            <c:extLst>
              <c:ext xmlns:c16="http://schemas.microsoft.com/office/drawing/2014/chart" uri="{C3380CC4-5D6E-409C-BE32-E72D297353CC}">
                <c16:uniqueId val="{00000009-D2B3-4F21-86FF-F6FD550979B9}"/>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solidFill>
                  <a:schemeClr val="bg1">
                    <a:lumMod val="10000"/>
                  </a:schemeClr>
                </a:solidFill>
              </a:ln>
              <a:effectLst/>
            </c:spPr>
            <c:extLst>
              <c:ext xmlns:c16="http://schemas.microsoft.com/office/drawing/2014/chart" uri="{C3380CC4-5D6E-409C-BE32-E72D297353CC}">
                <c16:uniqueId val="{0000000B-D2B3-4F21-86FF-F6FD550979B9}"/>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solidFill>
                  <a:schemeClr val="bg1">
                    <a:lumMod val="10000"/>
                  </a:schemeClr>
                </a:solidFill>
              </a:ln>
              <a:effectLst/>
            </c:spPr>
            <c:extLst>
              <c:ext xmlns:c16="http://schemas.microsoft.com/office/drawing/2014/chart" uri="{C3380CC4-5D6E-409C-BE32-E72D297353CC}">
                <c16:uniqueId val="{0000000D-D2B3-4F21-86FF-F6FD550979B9}"/>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solidFill>
                  <a:schemeClr val="bg1">
                    <a:lumMod val="10000"/>
                  </a:schemeClr>
                </a:solidFill>
              </a:ln>
              <a:effectLst/>
            </c:spPr>
            <c:extLst>
              <c:ext xmlns:c16="http://schemas.microsoft.com/office/drawing/2014/chart" uri="{C3380CC4-5D6E-409C-BE32-E72D297353CC}">
                <c16:uniqueId val="{0000000F-D2B3-4F21-86FF-F6FD550979B9}"/>
              </c:ext>
            </c:extLst>
          </c:dPt>
          <c:dLbls>
            <c:dLbl>
              <c:idx val="0"/>
              <c:layout>
                <c:manualLayout>
                  <c:x val="-1.0215387118439601E-2"/>
                  <c:y val="-0.1015686298718736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2B3-4F21-86FF-F6FD550979B9}"/>
                </c:ext>
              </c:extLst>
            </c:dLbl>
            <c:dLbl>
              <c:idx val="1"/>
              <c:layout>
                <c:manualLayout>
                  <c:x val="0.16023408753381699"/>
                  <c:y val="-6.392676023297949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2B3-4F21-86FF-F6FD550979B9}"/>
                </c:ext>
              </c:extLst>
            </c:dLbl>
            <c:dLbl>
              <c:idx val="2"/>
              <c:layout>
                <c:manualLayout>
                  <c:x val="0.15672614754578129"/>
                  <c:y val="7.895560487318543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2B3-4F21-86FF-F6FD550979B9}"/>
                </c:ext>
              </c:extLst>
            </c:dLbl>
            <c:dLbl>
              <c:idx val="4"/>
              <c:layout>
                <c:manualLayout>
                  <c:x val="0.14827752805310324"/>
                  <c:y val="-0.1468591906215564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2B3-4F21-86FF-F6FD550979B9}"/>
                </c:ext>
              </c:extLst>
            </c:dLbl>
            <c:dLbl>
              <c:idx val="5"/>
              <c:layout>
                <c:manualLayout>
                  <c:x val="-7.2383603555162254E-2"/>
                  <c:y val="0.1252490145905419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2B3-4F21-86FF-F6FD550979B9}"/>
                </c:ext>
              </c:extLst>
            </c:dLbl>
            <c:dLbl>
              <c:idx val="6"/>
              <c:layout>
                <c:manualLayout>
                  <c:x val="-0.23571471797095037"/>
                  <c:y val="5.11554832596141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D2B3-4F21-86FF-F6FD550979B9}"/>
                </c:ext>
              </c:extLst>
            </c:dLbl>
            <c:dLbl>
              <c:idx val="7"/>
              <c:layout>
                <c:manualLayout>
                  <c:x val="-0.20489306040978214"/>
                  <c:y val="-0.1345070792062399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D2B3-4F21-86FF-F6FD550979B9}"/>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bg1">
                      <a:lumMod val="10000"/>
                    </a:schemeClr>
                  </a:solidFill>
                </a:ln>
                <a:effectLst/>
              </c:spPr>
            </c:leaderLines>
            <c:extLst>
              <c:ext xmlns:c15="http://schemas.microsoft.com/office/drawing/2012/chart" uri="{CE6537A1-D6FC-4f65-9D91-7224C49458BB}"/>
            </c:extLst>
          </c:dLbls>
          <c:cat>
            <c:strRef>
              <c:f>Pies!$I$5:$I$12</c:f>
              <c:strCache>
                <c:ptCount val="8"/>
                <c:pt idx="0">
                  <c:v>Referrals handling (all referrals)</c:v>
                </c:pt>
                <c:pt idx="1">
                  <c:v>Initial telephone assessment</c:v>
                </c:pt>
                <c:pt idx="2">
                  <c:v>Pre-assessment</c:v>
                </c:pt>
                <c:pt idx="3">
                  <c:v>Specialist assessment</c:v>
                </c:pt>
                <c:pt idx="4">
                  <c:v>In-depth rehabilitation</c:v>
                </c:pt>
                <c:pt idx="5">
                  <c:v>Follow up call </c:v>
                </c:pt>
                <c:pt idx="6">
                  <c:v>Management tasks (all, incl. team meetings)</c:v>
                </c:pt>
                <c:pt idx="7">
                  <c:v>Issuing equipment</c:v>
                </c:pt>
              </c:strCache>
            </c:strRef>
          </c:cat>
          <c:val>
            <c:numRef>
              <c:f>Pies!$J$5:$J$12</c:f>
              <c:numCache>
                <c:formatCode>General</c:formatCode>
                <c:ptCount val="8"/>
                <c:pt idx="0" formatCode="&quot;£&quot;#,##0_);[Red]\(&quot;£&quot;#,##0\)">
                  <c:v>4644</c:v>
                </c:pt>
                <c:pt idx="1">
                  <c:v>13703</c:v>
                </c:pt>
                <c:pt idx="2">
                  <c:v>8604</c:v>
                </c:pt>
                <c:pt idx="3">
                  <c:v>174713</c:v>
                </c:pt>
                <c:pt idx="4">
                  <c:v>451859</c:v>
                </c:pt>
                <c:pt idx="5">
                  <c:v>5551</c:v>
                </c:pt>
                <c:pt idx="6" formatCode="&quot;£&quot;#,##0_);[Red]\(&quot;£&quot;#,##0\)">
                  <c:v>50208</c:v>
                </c:pt>
                <c:pt idx="7">
                  <c:v>7763</c:v>
                </c:pt>
              </c:numCache>
            </c:numRef>
          </c:val>
          <c:extLst>
            <c:ext xmlns:c16="http://schemas.microsoft.com/office/drawing/2014/chart" uri="{C3380CC4-5D6E-409C-BE32-E72D297353CC}">
              <c16:uniqueId val="{00000010-D2B3-4F21-86FF-F6FD550979B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solidFill>
        <a:schemeClr val="bg1">
          <a:lumMod val="10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bg1">
                    <a:lumMod val="10000"/>
                  </a:schemeClr>
                </a:solidFill>
                <a:latin typeface="+mn-lt"/>
                <a:ea typeface="+mn-ea"/>
                <a:cs typeface="+mn-cs"/>
              </a:defRPr>
            </a:pPr>
            <a:r>
              <a:rPr lang="en-GB" sz="1400">
                <a:solidFill>
                  <a:schemeClr val="bg1">
                    <a:lumMod val="10000"/>
                  </a:schemeClr>
                </a:solidFill>
              </a:rPr>
              <a:t>Breakdown of non-staff costs by component</a:t>
            </a:r>
          </a:p>
        </c:rich>
      </c:tx>
      <c:layout>
        <c:manualLayout>
          <c:xMode val="edge"/>
          <c:yMode val="edge"/>
          <c:x val="2.5186354078085477E-2"/>
          <c:y val="1.8541409147095178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bg1">
                  <a:lumMod val="10000"/>
                </a:schemeClr>
              </a:solidFill>
              <a:latin typeface="+mn-lt"/>
              <a:ea typeface="+mn-ea"/>
              <a:cs typeface="+mn-cs"/>
            </a:defRPr>
          </a:pPr>
          <a:endParaRPr lang="en-US"/>
        </a:p>
      </c:txPr>
    </c:title>
    <c:autoTitleDeleted val="0"/>
    <c:plotArea>
      <c:layout>
        <c:manualLayout>
          <c:layoutTarget val="inner"/>
          <c:xMode val="edge"/>
          <c:yMode val="edge"/>
          <c:x val="0.24139071566539252"/>
          <c:y val="0.22862981014084333"/>
          <c:w val="0.46178180732322155"/>
          <c:h val="0.71837753914629743"/>
        </c:manualLayout>
      </c:layout>
      <c:pieChart>
        <c:varyColors val="1"/>
        <c:ser>
          <c:idx val="0"/>
          <c:order val="0"/>
          <c:explosion val="19"/>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solidFill>
                  <a:schemeClr val="bg1">
                    <a:lumMod val="10000"/>
                  </a:schemeClr>
                </a:solidFill>
              </a:ln>
              <a:effectLst/>
            </c:spPr>
            <c:extLst>
              <c:ext xmlns:c16="http://schemas.microsoft.com/office/drawing/2014/chart" uri="{C3380CC4-5D6E-409C-BE32-E72D297353CC}">
                <c16:uniqueId val="{00000001-3221-424F-BDD3-137033EFCD31}"/>
              </c:ext>
            </c:extLst>
          </c:dPt>
          <c:dPt>
            <c:idx val="1"/>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solidFill>
                  <a:schemeClr val="bg1">
                    <a:lumMod val="10000"/>
                  </a:schemeClr>
                </a:solidFill>
              </a:ln>
              <a:effectLst/>
            </c:spPr>
            <c:extLst>
              <c:ext xmlns:c16="http://schemas.microsoft.com/office/drawing/2014/chart" uri="{C3380CC4-5D6E-409C-BE32-E72D297353CC}">
                <c16:uniqueId val="{00000003-3221-424F-BDD3-137033EFCD31}"/>
              </c:ext>
            </c:extLst>
          </c:dPt>
          <c:dPt>
            <c:idx val="2"/>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solidFill>
                  <a:schemeClr val="bg1">
                    <a:lumMod val="10000"/>
                  </a:schemeClr>
                </a:solidFill>
              </a:ln>
              <a:effectLst/>
            </c:spPr>
            <c:extLst>
              <c:ext xmlns:c16="http://schemas.microsoft.com/office/drawing/2014/chart" uri="{C3380CC4-5D6E-409C-BE32-E72D297353CC}">
                <c16:uniqueId val="{00000005-3221-424F-BDD3-137033EFCD31}"/>
              </c:ext>
            </c:extLst>
          </c:dPt>
          <c:dLbls>
            <c:dLbl>
              <c:idx val="0"/>
              <c:layout>
                <c:manualLayout>
                  <c:x val="-0.2432886342149149"/>
                  <c:y val="-1.32889063112504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221-424F-BDD3-137033EFCD31}"/>
                </c:ext>
              </c:extLst>
            </c:dLbl>
            <c:dLbl>
              <c:idx val="1"/>
              <c:layout>
                <c:manualLayout>
                  <c:x val="6.6255026046652824E-3"/>
                  <c:y val="-1.2257660266006538E-2"/>
                </c:manualLayout>
              </c:layout>
              <c:tx>
                <c:rich>
                  <a:bodyPr/>
                  <a:lstStyle/>
                  <a:p>
                    <a:fld id="{AF2160D2-F1DE-4621-B544-BE8284A2AB17}" type="CATEGORYNAME">
                      <a:rPr lang="en-US">
                        <a:solidFill>
                          <a:schemeClr val="bg1">
                            <a:lumMod val="10000"/>
                          </a:schemeClr>
                        </a:solidFill>
                      </a:rPr>
                      <a:pPr/>
                      <a:t>[CATEGORY NAME]</a:t>
                    </a:fld>
                    <a:r>
                      <a:rPr lang="en-US" baseline="0"/>
                      <a:t>
</a:t>
                    </a:r>
                    <a:fld id="{DC315FC8-693E-4204-911A-68155C8FDB9A}"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221-424F-BDD3-137033EFCD31}"/>
                </c:ext>
              </c:extLst>
            </c:dLbl>
            <c:dLbl>
              <c:idx val="2"/>
              <c:layout>
                <c:manualLayout>
                  <c:x val="0.11124663814150609"/>
                  <c:y val="-0.2450210971766514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221-424F-BDD3-137033EFCD31}"/>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bg1">
                        <a:lumMod val="10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bg1">
                      <a:lumMod val="10000"/>
                    </a:schemeClr>
                  </a:solidFill>
                </a:ln>
                <a:effectLst/>
              </c:spPr>
            </c:leaderLines>
            <c:extLst>
              <c:ext xmlns:c15="http://schemas.microsoft.com/office/drawing/2012/chart" uri="{CE6537A1-D6FC-4f65-9D91-7224C49458BB}"/>
            </c:extLst>
          </c:dLbls>
          <c:cat>
            <c:strRef>
              <c:f>Pies!$A$23:$A$25</c:f>
              <c:strCache>
                <c:ptCount val="3"/>
                <c:pt idx="0">
                  <c:v>Cost of equipment</c:v>
                </c:pt>
                <c:pt idx="1">
                  <c:v>Travel expenses</c:v>
                </c:pt>
                <c:pt idx="2">
                  <c:v>Overheads</c:v>
                </c:pt>
              </c:strCache>
            </c:strRef>
          </c:cat>
          <c:val>
            <c:numRef>
              <c:f>Pies!$B$23:$B$25</c:f>
              <c:numCache>
                <c:formatCode>"£"#,##0_);[Red]\("£"#,##0\)</c:formatCode>
                <c:ptCount val="3"/>
                <c:pt idx="0">
                  <c:v>24000</c:v>
                </c:pt>
                <c:pt idx="1">
                  <c:v>17000</c:v>
                </c:pt>
                <c:pt idx="2">
                  <c:v>159988</c:v>
                </c:pt>
              </c:numCache>
            </c:numRef>
          </c:val>
          <c:extLst>
            <c:ext xmlns:c16="http://schemas.microsoft.com/office/drawing/2014/chart" uri="{C3380CC4-5D6E-409C-BE32-E72D297353CC}">
              <c16:uniqueId val="{00000006-3221-424F-BDD3-137033EFCD3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solidFill>
        <a:schemeClr val="bg1">
          <a:lumMod val="10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8B19D7C90D4655BB5B97DA5BFBBC4E"/>
        <w:category>
          <w:name w:val="General"/>
          <w:gallery w:val="placeholder"/>
        </w:category>
        <w:types>
          <w:type w:val="bbPlcHdr"/>
        </w:types>
        <w:behaviors>
          <w:behavior w:val="content"/>
        </w:behaviors>
        <w:guid w:val="{8E4B1FF5-FC15-4B2A-8026-CA17E24A8493}"/>
      </w:docPartPr>
      <w:docPartBody>
        <w:p w:rsidR="00431352" w:rsidRDefault="00431352">
          <w:pPr>
            <w:pStyle w:val="9A8B19D7C90D4655BB5B97DA5BFBBC4E"/>
          </w:pPr>
          <w:r w:rsidRPr="003E5369">
            <w:rPr>
              <w:rStyle w:val="PlaceholderText"/>
            </w:rPr>
            <w:t>[Title]</w:t>
          </w:r>
        </w:p>
      </w:docPartBody>
    </w:docPart>
    <w:docPart>
      <w:docPartPr>
        <w:name w:val="12604C12009540878CDD3AAA319B5CD3"/>
        <w:category>
          <w:name w:val="General"/>
          <w:gallery w:val="placeholder"/>
        </w:category>
        <w:types>
          <w:type w:val="bbPlcHdr"/>
        </w:types>
        <w:behaviors>
          <w:behavior w:val="content"/>
        </w:behaviors>
        <w:guid w:val="{E7CC6A4A-B212-4D69-BFE8-3134F54D8465}"/>
      </w:docPartPr>
      <w:docPartBody>
        <w:p w:rsidR="00431352" w:rsidRDefault="00431352">
          <w:pPr>
            <w:pStyle w:val="12604C12009540878CDD3AAA319B5CD3"/>
          </w:pPr>
          <w:r w:rsidRPr="00D9494C">
            <w:rPr>
              <w:rStyle w:val="PlaceholderText"/>
            </w:rPr>
            <w:t>[Subject]</w:t>
          </w:r>
        </w:p>
      </w:docPartBody>
    </w:docPart>
    <w:docPart>
      <w:docPartPr>
        <w:name w:val="DE3CA8F42AAC43E4A210F40BBE956EFB"/>
        <w:category>
          <w:name w:val="General"/>
          <w:gallery w:val="placeholder"/>
        </w:category>
        <w:types>
          <w:type w:val="bbPlcHdr"/>
        </w:types>
        <w:behaviors>
          <w:behavior w:val="content"/>
        </w:behaviors>
        <w:guid w:val="{194CB25B-6FB3-43A6-8E45-B55F9C83C37D}"/>
      </w:docPartPr>
      <w:docPartBody>
        <w:p w:rsidR="00431352" w:rsidRDefault="00431352">
          <w:pPr>
            <w:pStyle w:val="DE3CA8F42AAC43E4A210F40BBE956EFB"/>
          </w:pPr>
          <w:r w:rsidRPr="00D9494C">
            <w:rPr>
              <w:rStyle w:val="PlaceholderText"/>
            </w:rPr>
            <w:t>[Company]</w:t>
          </w:r>
        </w:p>
      </w:docPartBody>
    </w:docPart>
    <w:docPart>
      <w:docPartPr>
        <w:name w:val="F62F0DAD8107474F9DFCC9D94FE779D4"/>
        <w:category>
          <w:name w:val="General"/>
          <w:gallery w:val="placeholder"/>
        </w:category>
        <w:types>
          <w:type w:val="bbPlcHdr"/>
        </w:types>
        <w:behaviors>
          <w:behavior w:val="content"/>
        </w:behaviors>
        <w:guid w:val="{DBB37709-943B-4E10-B142-E3652EB02FBD}"/>
      </w:docPartPr>
      <w:docPartBody>
        <w:p w:rsidR="00431352" w:rsidRDefault="00431352">
          <w:pPr>
            <w:pStyle w:val="F62F0DAD8107474F9DFCC9D94FE779D4"/>
          </w:pPr>
          <w:r w:rsidRPr="00D9494C">
            <w:rPr>
              <w:rStyle w:val="PlaceholderText"/>
            </w:rPr>
            <w:t>[Subject]</w:t>
          </w:r>
        </w:p>
      </w:docPartBody>
    </w:docPart>
    <w:docPart>
      <w:docPartPr>
        <w:name w:val="AF6369F174414A0EBA53F4C67C126A5A"/>
        <w:category>
          <w:name w:val="General"/>
          <w:gallery w:val="placeholder"/>
        </w:category>
        <w:types>
          <w:type w:val="bbPlcHdr"/>
        </w:types>
        <w:behaviors>
          <w:behavior w:val="content"/>
        </w:behaviors>
        <w:guid w:val="{0BD2C8C2-54F4-446B-A23B-57AA1F74D9B0}"/>
      </w:docPartPr>
      <w:docPartBody>
        <w:p w:rsidR="004F6471" w:rsidRDefault="00431352">
          <w:pPr>
            <w:pStyle w:val="AF6369F174414A0EBA53F4C67C126A5A"/>
          </w:pPr>
          <w:r w:rsidRPr="003E536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TT)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352"/>
    <w:rsid w:val="00006DD1"/>
    <w:rsid w:val="0005743B"/>
    <w:rsid w:val="00077BBC"/>
    <w:rsid w:val="000D00AD"/>
    <w:rsid w:val="0016131E"/>
    <w:rsid w:val="001C4526"/>
    <w:rsid w:val="001C79B9"/>
    <w:rsid w:val="001D20EA"/>
    <w:rsid w:val="00274098"/>
    <w:rsid w:val="00275B00"/>
    <w:rsid w:val="00287E6A"/>
    <w:rsid w:val="003508CD"/>
    <w:rsid w:val="00365B22"/>
    <w:rsid w:val="00386FDF"/>
    <w:rsid w:val="00430503"/>
    <w:rsid w:val="00431352"/>
    <w:rsid w:val="00432287"/>
    <w:rsid w:val="00443E2F"/>
    <w:rsid w:val="00476E7B"/>
    <w:rsid w:val="004A5100"/>
    <w:rsid w:val="004D429C"/>
    <w:rsid w:val="004F2373"/>
    <w:rsid w:val="004F6471"/>
    <w:rsid w:val="00557DE4"/>
    <w:rsid w:val="005B67F6"/>
    <w:rsid w:val="00600480"/>
    <w:rsid w:val="006339DF"/>
    <w:rsid w:val="00633D16"/>
    <w:rsid w:val="006475DF"/>
    <w:rsid w:val="00790BD3"/>
    <w:rsid w:val="007B45DD"/>
    <w:rsid w:val="007D4449"/>
    <w:rsid w:val="00800CC2"/>
    <w:rsid w:val="0083558A"/>
    <w:rsid w:val="00876AC0"/>
    <w:rsid w:val="008F72B2"/>
    <w:rsid w:val="009A7F45"/>
    <w:rsid w:val="009D63BD"/>
    <w:rsid w:val="00A61EB3"/>
    <w:rsid w:val="00A90087"/>
    <w:rsid w:val="00A91A81"/>
    <w:rsid w:val="00AD19C3"/>
    <w:rsid w:val="00B310F9"/>
    <w:rsid w:val="00BA00C1"/>
    <w:rsid w:val="00BD2FDD"/>
    <w:rsid w:val="00C35E43"/>
    <w:rsid w:val="00C93404"/>
    <w:rsid w:val="00D90FDC"/>
    <w:rsid w:val="00DD4E08"/>
    <w:rsid w:val="00E06713"/>
    <w:rsid w:val="00E365F2"/>
    <w:rsid w:val="00E451DF"/>
    <w:rsid w:val="00E7699E"/>
    <w:rsid w:val="00EF687A"/>
    <w:rsid w:val="00F2116F"/>
    <w:rsid w:val="00F84BF1"/>
    <w:rsid w:val="00FB2A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A8B19D7C90D4655BB5B97DA5BFBBC4E">
    <w:name w:val="9A8B19D7C90D4655BB5B97DA5BFBBC4E"/>
  </w:style>
  <w:style w:type="paragraph" w:customStyle="1" w:styleId="12604C12009540878CDD3AAA319B5CD3">
    <w:name w:val="12604C12009540878CDD3AAA319B5CD3"/>
  </w:style>
  <w:style w:type="paragraph" w:customStyle="1" w:styleId="8C7111A0366346A2AED8B55F1EACEAA0">
    <w:name w:val="8C7111A0366346A2AED8B55F1EACEAA0"/>
  </w:style>
  <w:style w:type="paragraph" w:customStyle="1" w:styleId="DE3CA8F42AAC43E4A210F40BBE956EFB">
    <w:name w:val="DE3CA8F42AAC43E4A210F40BBE956EFB"/>
  </w:style>
  <w:style w:type="paragraph" w:customStyle="1" w:styleId="7FF35F177A464A67B928140F0BBD1A92">
    <w:name w:val="7FF35F177A464A67B928140F0BBD1A92"/>
  </w:style>
  <w:style w:type="paragraph" w:customStyle="1" w:styleId="F62F0DAD8107474F9DFCC9D94FE779D4">
    <w:name w:val="F62F0DAD8107474F9DFCC9D94FE779D4"/>
  </w:style>
  <w:style w:type="paragraph" w:customStyle="1" w:styleId="7307E2C7577441F3BB1DED939C0A8898">
    <w:name w:val="7307E2C7577441F3BB1DED939C0A8898"/>
    <w:rsid w:val="00C93404"/>
  </w:style>
  <w:style w:type="paragraph" w:customStyle="1" w:styleId="98602E26F1334B95A015656D6B116E8D">
    <w:name w:val="98602E26F1334B95A015656D6B116E8D"/>
  </w:style>
  <w:style w:type="paragraph" w:customStyle="1" w:styleId="2C0D409A446E4B4180F4CB065627A592">
    <w:name w:val="2C0D409A446E4B4180F4CB065627A592"/>
  </w:style>
  <w:style w:type="paragraph" w:customStyle="1" w:styleId="AF2B1F71C491465BACD6DD7EFEF32063">
    <w:name w:val="AF2B1F71C491465BACD6DD7EFEF32063"/>
  </w:style>
  <w:style w:type="paragraph" w:customStyle="1" w:styleId="03D2F98D678B4C8FAA37C7F6780BCF4C">
    <w:name w:val="03D2F98D678B4C8FAA37C7F6780BCF4C"/>
  </w:style>
  <w:style w:type="paragraph" w:customStyle="1" w:styleId="8394469806C747B3BE58F504FF7D454D">
    <w:name w:val="8394469806C747B3BE58F504FF7D454D"/>
  </w:style>
  <w:style w:type="paragraph" w:customStyle="1" w:styleId="C6BA1D846BC84EB9AE80B41D1BF06178">
    <w:name w:val="C6BA1D846BC84EB9AE80B41D1BF06178"/>
  </w:style>
  <w:style w:type="paragraph" w:customStyle="1" w:styleId="9ECDD113CD6248C095FAD0644023CE27">
    <w:name w:val="9ECDD113CD6248C095FAD0644023CE27"/>
  </w:style>
  <w:style w:type="paragraph" w:customStyle="1" w:styleId="DDB38A53926B4FAC83705667F800C637">
    <w:name w:val="DDB38A53926B4FAC83705667F800C637"/>
  </w:style>
  <w:style w:type="paragraph" w:customStyle="1" w:styleId="9D5D88FC728E40E5A21FE0E4BBBE8E56">
    <w:name w:val="9D5D88FC728E40E5A21FE0E4BBBE8E56"/>
  </w:style>
  <w:style w:type="paragraph" w:customStyle="1" w:styleId="9D20FC8CEAC645C8BC7CAC3DD9727659">
    <w:name w:val="9D20FC8CEAC645C8BC7CAC3DD9727659"/>
  </w:style>
  <w:style w:type="paragraph" w:customStyle="1" w:styleId="410F1295F64648DA9C941519847FB174">
    <w:name w:val="410F1295F64648DA9C941519847FB174"/>
  </w:style>
  <w:style w:type="paragraph" w:customStyle="1" w:styleId="5AEF7FDB8E824F0183C7493371BA9010">
    <w:name w:val="5AEF7FDB8E824F0183C7493371BA9010"/>
  </w:style>
  <w:style w:type="paragraph" w:customStyle="1" w:styleId="9A1E2BBAA9084192A5E0326556BC8956">
    <w:name w:val="9A1E2BBAA9084192A5E0326556BC8956"/>
  </w:style>
  <w:style w:type="paragraph" w:customStyle="1" w:styleId="EF0B9164309D4B90822952494292365F">
    <w:name w:val="EF0B9164309D4B90822952494292365F"/>
  </w:style>
  <w:style w:type="paragraph" w:customStyle="1" w:styleId="DB2E91C14516432A8C2B100207417DA0">
    <w:name w:val="DB2E91C14516432A8C2B100207417DA0"/>
  </w:style>
  <w:style w:type="paragraph" w:customStyle="1" w:styleId="5394CB764B1B43569147253B5866833D">
    <w:name w:val="5394CB764B1B43569147253B5866833D"/>
  </w:style>
  <w:style w:type="paragraph" w:customStyle="1" w:styleId="86FE87BCDACF4A79BBE70CEB52454478">
    <w:name w:val="86FE87BCDACF4A79BBE70CEB52454478"/>
  </w:style>
  <w:style w:type="paragraph" w:customStyle="1" w:styleId="3E88880E60BC406094C06C258ACE115C">
    <w:name w:val="3E88880E60BC406094C06C258ACE115C"/>
  </w:style>
  <w:style w:type="paragraph" w:customStyle="1" w:styleId="D1D6E70D68A747CCA48F3B7996B8D2D6">
    <w:name w:val="D1D6E70D68A747CCA48F3B7996B8D2D6"/>
  </w:style>
  <w:style w:type="paragraph" w:customStyle="1" w:styleId="57E4C6D5C43344598BE8004FE8D4D4C5">
    <w:name w:val="57E4C6D5C43344598BE8004FE8D4D4C5"/>
  </w:style>
  <w:style w:type="paragraph" w:customStyle="1" w:styleId="89E98B57E03948F5BC7A5004371EC1DB">
    <w:name w:val="89E98B57E03948F5BC7A5004371EC1DB"/>
  </w:style>
  <w:style w:type="paragraph" w:customStyle="1" w:styleId="3EE1AC1850CF474DABBBDB89F77BCEEB">
    <w:name w:val="3EE1AC1850CF474DABBBDB89F77BCEEB"/>
  </w:style>
  <w:style w:type="paragraph" w:customStyle="1" w:styleId="58FE2F6B655F4223BB2EAE4132A0DA5C">
    <w:name w:val="58FE2F6B655F4223BB2EAE4132A0DA5C"/>
  </w:style>
  <w:style w:type="paragraph" w:customStyle="1" w:styleId="FDE0F0EED02B472D8FC6DA893F07D740">
    <w:name w:val="FDE0F0EED02B472D8FC6DA893F07D740"/>
  </w:style>
  <w:style w:type="paragraph" w:customStyle="1" w:styleId="2C8C17678B6A4A039D4C6E935F51DF22">
    <w:name w:val="2C8C17678B6A4A039D4C6E935F51DF22"/>
  </w:style>
  <w:style w:type="paragraph" w:customStyle="1" w:styleId="C9F2D40B3900429F8049C5BFAD42E803">
    <w:name w:val="C9F2D40B3900429F8049C5BFAD42E803"/>
  </w:style>
  <w:style w:type="paragraph" w:customStyle="1" w:styleId="00CCA96FEE0B40858A3941E4222398C9">
    <w:name w:val="00CCA96FEE0B40858A3941E4222398C9"/>
  </w:style>
  <w:style w:type="paragraph" w:customStyle="1" w:styleId="187B757637AC4D8F83017EFBE831AD77">
    <w:name w:val="187B757637AC4D8F83017EFBE831AD77"/>
  </w:style>
  <w:style w:type="paragraph" w:customStyle="1" w:styleId="7D523B9425C44AF9AA5848FBE280748B">
    <w:name w:val="7D523B9425C44AF9AA5848FBE280748B"/>
  </w:style>
  <w:style w:type="paragraph" w:customStyle="1" w:styleId="B113BCB8D1B14C69A9FE4114AF61C245">
    <w:name w:val="B113BCB8D1B14C69A9FE4114AF61C245"/>
  </w:style>
  <w:style w:type="paragraph" w:customStyle="1" w:styleId="C69F7B96945C412E9B3DE7C2A492D586">
    <w:name w:val="C69F7B96945C412E9B3DE7C2A492D586"/>
  </w:style>
  <w:style w:type="paragraph" w:customStyle="1" w:styleId="5CB771EF3A6F416CB10E37DDFB2E4ABE">
    <w:name w:val="5CB771EF3A6F416CB10E37DDFB2E4ABE"/>
  </w:style>
  <w:style w:type="paragraph" w:customStyle="1" w:styleId="AF6369F174414A0EBA53F4C67C126A5A">
    <w:name w:val="AF6369F174414A0EBA53F4C67C126A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PMTheme1">
  <a:themeElements>
    <a:clrScheme name="OPMTheme1">
      <a:dk1>
        <a:srgbClr val="008C8D"/>
      </a:dk1>
      <a:lt1>
        <a:srgbClr val="FBFBFB"/>
      </a:lt1>
      <a:dk2>
        <a:srgbClr val="414042"/>
      </a:dk2>
      <a:lt2>
        <a:srgbClr val="FBFBFB"/>
      </a:lt2>
      <a:accent1>
        <a:srgbClr val="62AEB1"/>
      </a:accent1>
      <a:accent2>
        <a:srgbClr val="DFEEEF"/>
      </a:accent2>
      <a:accent3>
        <a:srgbClr val="F6AC7A"/>
      </a:accent3>
      <a:accent4>
        <a:srgbClr val="EA5B02"/>
      </a:accent4>
      <a:accent5>
        <a:srgbClr val="8492C2"/>
      </a:accent5>
      <a:accent6>
        <a:srgbClr val="034990"/>
      </a:accent6>
      <a:hlink>
        <a:srgbClr val="007AC0"/>
      </a:hlink>
      <a:folHlink>
        <a:srgbClr val="62AEB1"/>
      </a:folHlink>
    </a:clrScheme>
    <a:fontScheme name="OPM Arial+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800" dirty="0">
            <a:solidFill>
              <a:schemeClr val="tx2"/>
            </a:solidFill>
            <a:latin typeface="Arial" panose="020B0604020202020204" pitchFamily="34" charset="0"/>
            <a:cs typeface="Arial" panose="020B0604020202020204" pitchFamily="34" charset="0"/>
          </a:defRPr>
        </a:defPPr>
      </a:lstStyle>
    </a:txDef>
  </a:objectDefaults>
  <a:extraClrSchemeLst/>
  <a:extLst>
    <a:ext uri="{05A4C25C-085E-4340-85A3-A5531E510DB2}">
      <thm15:themeFamily xmlns:thm15="http://schemas.microsoft.com/office/thememl/2012/main" name="OPMTheme1" id="{D62FFC6E-1165-4E33-A231-0DB6EC89C511}" vid="{5420203D-7AD0-4301-8298-5D723F1B3BB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2017-06-01T00:00:00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ate xmlns="556cdf18-01b9-4134-82b4-910e5412af24">2017</Date>
    <Documenttype xmlns="556cdf18-01b9-4134-82b4-910e5412af24">Research report</Documenttype>
    <Summary xmlns="556cdf18-01b9-4134-82b4-910e5412af24">Office for Public Management commissioned research exploring whether there is also an economic return from providing vision rehabilitation services</Summary>
    <lcf76f155ced4ddcb4097134ff3c332f xmlns="556cdf18-01b9-4134-82b4-910e5412af24">
      <Terms xmlns="http://schemas.microsoft.com/office/infopath/2007/PartnerControls"/>
    </lcf76f155ced4ddcb4097134ff3c332f>
    <TaxCatchAll xmlns="4b562380-c0d7-4c5f-9ac2-5670c239e7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2DD507F7F05F4B830621B7AA5CDFD2" ma:contentTypeVersion="22" ma:contentTypeDescription="Create a new document." ma:contentTypeScope="" ma:versionID="99f31d4c0e1661432ee8f8c17132d335">
  <xsd:schema xmlns:xsd="http://www.w3.org/2001/XMLSchema" xmlns:xs="http://www.w3.org/2001/XMLSchema" xmlns:p="http://schemas.microsoft.com/office/2006/metadata/properties" xmlns:ns2="556cdf18-01b9-4134-82b4-910e5412af24" xmlns:ns3="4b562380-c0d7-4c5f-9ac2-5670c239e71d" targetNamespace="http://schemas.microsoft.com/office/2006/metadata/properties" ma:root="true" ma:fieldsID="71f75962d1c75ad272f281c2845a0538" ns2:_="" ns3:_="">
    <xsd:import namespace="556cdf18-01b9-4134-82b4-910e5412af24"/>
    <xsd:import namespace="4b562380-c0d7-4c5f-9ac2-5670c239e71d"/>
    <xsd:element name="properties">
      <xsd:complexType>
        <xsd:sequence>
          <xsd:element name="documentManagement">
            <xsd:complexType>
              <xsd:all>
                <xsd:element ref="ns2:Date" minOccurs="0"/>
                <xsd:element ref="ns2:Document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Summary"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cdf18-01b9-4134-82b4-910e5412af24" elementFormDefault="qualified">
    <xsd:import namespace="http://schemas.microsoft.com/office/2006/documentManagement/types"/>
    <xsd:import namespace="http://schemas.microsoft.com/office/infopath/2007/PartnerControls"/>
    <xsd:element name="Date" ma:index="2" nillable="true" ma:displayName="Date" ma:description="The year the document was published" ma:format="Dropdown" ma:internalName="Date">
      <xsd:simpleType>
        <xsd:restriction base="dms:Text">
          <xsd:maxLength value="255"/>
        </xsd:restriction>
      </xsd:simpleType>
    </xsd:element>
    <xsd:element name="Documenttype" ma:index="3" nillable="true" ma:displayName="Document type" ma:format="Dropdown" ma:internalName="Documenttype">
      <xsd:simpleType>
        <xsd:restriction base="dms:Choice">
          <xsd:enumeration value="Research report"/>
          <xsd:enumeration value="Research briefing"/>
          <xsd:enumeration value="Summary"/>
          <xsd:enumeration value="Campaign report"/>
          <xsd:enumeration value="Service evaluation"/>
          <xsd:enumeration value="Other"/>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Summary" ma:index="17" nillable="true" ma:displayName="Summary" ma:format="Dropdown" ma:internalName="Summary">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62380-c0d7-4c5f-9ac2-5670c239e7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ac9f5cd-6f62-4210-8ab6-1544f9e2aa66}" ma:internalName="TaxCatchAll" ma:showField="CatchAllData" ma:web="4b562380-c0d7-4c5f-9ac2-5670c239e7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3D3172-9935-4BB9-BB7E-7FABBA1F6E43}">
  <ds:schemaRefs>
    <ds:schemaRef ds:uri="http://purl.org/dc/terms/"/>
    <ds:schemaRef ds:uri="http://schemas.openxmlformats.org/package/2006/metadata/core-properties"/>
    <ds:schemaRef ds:uri="http://purl.org/dc/dcmitype/"/>
    <ds:schemaRef ds:uri="http://schemas.microsoft.com/office/2006/documentManagement/types"/>
    <ds:schemaRef ds:uri="4a06fce1-e79f-455a-a885-b87b424c17e8"/>
    <ds:schemaRef ds:uri="http://purl.org/dc/elements/1.1/"/>
    <ds:schemaRef ds:uri="http://schemas.microsoft.com/office/2006/metadata/properties"/>
    <ds:schemaRef ds:uri="http://schemas.microsoft.com/office/infopath/2007/PartnerControls"/>
    <ds:schemaRef ds:uri="3dff21ff-f64b-43b3-b7b8-11a0e7847d20"/>
    <ds:schemaRef ds:uri="http://www.w3.org/XML/1998/namespace"/>
  </ds:schemaRefs>
</ds:datastoreItem>
</file>

<file path=customXml/itemProps3.xml><?xml version="1.0" encoding="utf-8"?>
<ds:datastoreItem xmlns:ds="http://schemas.openxmlformats.org/officeDocument/2006/customXml" ds:itemID="{F6524C51-A6BA-443C-9835-0064936D19FF}">
  <ds:schemaRefs>
    <ds:schemaRef ds:uri="http://schemas.microsoft.com/sharepoint/v3/contenttype/forms"/>
  </ds:schemaRefs>
</ds:datastoreItem>
</file>

<file path=customXml/itemProps4.xml><?xml version="1.0" encoding="utf-8"?>
<ds:datastoreItem xmlns:ds="http://schemas.openxmlformats.org/officeDocument/2006/customXml" ds:itemID="{0AD1470B-3ECC-4967-8388-CB2EE1A6A124}"/>
</file>

<file path=customXml/itemProps5.xml><?xml version="1.0" encoding="utf-8"?>
<ds:datastoreItem xmlns:ds="http://schemas.openxmlformats.org/officeDocument/2006/customXml" ds:itemID="{642A02F4-EA05-4331-8A62-C30FD623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17300</Words>
  <Characters>98616</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Demonstrating the impact and value of vision rehabilitation</vt:lpstr>
    </vt:vector>
  </TitlesOfParts>
  <Company>OPM Group</Company>
  <LinksUpToDate>false</LinksUpToDate>
  <CharactersWithSpaces>115685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Demonstrating the impact and value of vision rehabilitation</dc:title>
  <dc:subject>A report to RNIB</dc:subject>
  <dc:creator>Bethan Peach</dc:creator>
  <cp:lastModifiedBy>Ross Hedley</cp:lastModifiedBy>
  <cp:revision>2</cp:revision>
  <cp:lastPrinted>2017-08-02T15:44:00Z</cp:lastPrinted>
  <dcterms:created xsi:type="dcterms:W3CDTF">2019-07-03T11:56:00Z</dcterms:created>
  <dcterms:modified xsi:type="dcterms:W3CDTF">2019-07-03T11:56:00Z</dcterms:modified>
  <cp:category>Released</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0x010100512DD507F7F05F4B830621B7AA5CDFD2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