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4D" w:rsidRPr="000D583A" w:rsidRDefault="00454470" w:rsidP="0000164E">
      <w:pPr>
        <w:pStyle w:val="Heading1"/>
        <w:spacing w:before="960"/>
      </w:pPr>
      <w:r>
        <w:rPr>
          <w:noProof/>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7556500" cy="1511300"/>
            <wp:effectExtent l="0" t="0" r="0" b="0"/>
            <wp:wrapNone/>
            <wp:docPr id="4" name="Picture 15" descr="RNIB – supporting people with sight loss&#10;Research brief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NIB – supporting people with sight loss&#10;Research briefing&#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A18" w:rsidRPr="000D583A">
        <w:t xml:space="preserve">Number of </w:t>
      </w:r>
      <w:r w:rsidR="00917032" w:rsidRPr="000D583A">
        <w:t xml:space="preserve">Work Programme </w:t>
      </w:r>
      <w:r w:rsidR="005723B4" w:rsidRPr="000D583A">
        <w:t xml:space="preserve">referrals, attachments and job outcomes </w:t>
      </w:r>
      <w:r w:rsidR="00247A18" w:rsidRPr="000D583A">
        <w:t xml:space="preserve">for blind and partially sighted claimants: </w:t>
      </w:r>
      <w:r w:rsidR="005723B4">
        <w:t>1</w:t>
      </w:r>
      <w:r w:rsidR="00917032" w:rsidRPr="000D583A">
        <w:t xml:space="preserve"> June 2011</w:t>
      </w:r>
      <w:r w:rsidR="00247A18" w:rsidRPr="000D583A">
        <w:t xml:space="preserve"> </w:t>
      </w:r>
      <w:r w:rsidR="005723B4">
        <w:t>to 31</w:t>
      </w:r>
      <w:r w:rsidR="00EA610A">
        <w:t xml:space="preserve"> March 2015</w:t>
      </w:r>
    </w:p>
    <w:p w:rsidR="003C3B5E" w:rsidRPr="000D583A" w:rsidRDefault="003C3B5E" w:rsidP="003C3B5E">
      <w:pPr>
        <w:rPr>
          <w:color w:val="002060"/>
        </w:rPr>
      </w:pPr>
    </w:p>
    <w:p w:rsidR="003C3B5E" w:rsidRPr="000D583A" w:rsidRDefault="003C3B5E" w:rsidP="003C3B5E">
      <w:pPr>
        <w:pStyle w:val="Heading2"/>
      </w:pPr>
      <w:r w:rsidRPr="000D583A">
        <w:t>1.</w:t>
      </w:r>
      <w:r w:rsidRPr="000D583A">
        <w:tab/>
        <w:t>Introduction</w:t>
      </w:r>
    </w:p>
    <w:p w:rsidR="003C3B5E" w:rsidRPr="000D583A" w:rsidRDefault="003C3B5E" w:rsidP="003C3B5E"/>
    <w:p w:rsidR="00453DC2" w:rsidRPr="000D583A" w:rsidRDefault="00453DC2" w:rsidP="003C3B5E">
      <w:r w:rsidRPr="000D583A">
        <w:t>This</w:t>
      </w:r>
      <w:r w:rsidR="003C3B5E" w:rsidRPr="000D583A">
        <w:t xml:space="preserve"> briefing </w:t>
      </w:r>
      <w:r w:rsidR="00203799">
        <w:t>contains</w:t>
      </w:r>
      <w:r w:rsidRPr="000D583A">
        <w:t xml:space="preserve"> statistics on</w:t>
      </w:r>
      <w:r w:rsidR="003C3B5E" w:rsidRPr="000D583A">
        <w:t xml:space="preserve"> </w:t>
      </w:r>
      <w:r w:rsidR="000C3AEF" w:rsidRPr="000D583A">
        <w:t xml:space="preserve">the number of blind and partially sighted (BPS) </w:t>
      </w:r>
      <w:r w:rsidR="001D1504">
        <w:t>people</w:t>
      </w:r>
      <w:r w:rsidR="000C3AEF" w:rsidRPr="000D583A">
        <w:t xml:space="preserve"> referred to</w:t>
      </w:r>
      <w:r w:rsidR="00D02602" w:rsidRPr="000D583A">
        <w:t>,</w:t>
      </w:r>
      <w:r w:rsidR="000C3AEF" w:rsidRPr="000D583A">
        <w:t xml:space="preserve"> and subsequently taken on</w:t>
      </w:r>
      <w:r w:rsidR="00D02602" w:rsidRPr="000D583A">
        <w:t xml:space="preserve">/attached </w:t>
      </w:r>
      <w:r w:rsidR="000C3AEF" w:rsidRPr="000D583A">
        <w:t>to the Work Programme betwe</w:t>
      </w:r>
      <w:r w:rsidR="00EA610A">
        <w:t>en 1 June 2011 and 31 March 2015</w:t>
      </w:r>
      <w:r w:rsidR="000C3AEF" w:rsidRPr="000D583A">
        <w:t xml:space="preserve">, and their job outcomes. </w:t>
      </w:r>
    </w:p>
    <w:p w:rsidR="0048054C" w:rsidRPr="000D583A" w:rsidRDefault="0048054C" w:rsidP="003C3B5E">
      <w:pPr>
        <w:rPr>
          <w:color w:val="002060"/>
        </w:rPr>
      </w:pPr>
    </w:p>
    <w:p w:rsidR="00453DC2" w:rsidRDefault="00453DC2" w:rsidP="00453DC2">
      <w:r w:rsidRPr="000D583A">
        <w:t>The statistics</w:t>
      </w:r>
      <w:r w:rsidR="001D1504">
        <w:t xml:space="preserve"> relating to BPS people</w:t>
      </w:r>
      <w:r w:rsidRPr="000D583A">
        <w:t xml:space="preserve"> were provided by DWP follow</w:t>
      </w:r>
      <w:r w:rsidR="007D7FDD">
        <w:t>ing a Freedom of Information</w:t>
      </w:r>
      <w:r w:rsidRPr="000D583A">
        <w:t xml:space="preserve"> (FOI) request for</w:t>
      </w:r>
      <w:r w:rsidR="00B514FA" w:rsidRPr="000D583A">
        <w:t xml:space="preserve"> an ad hoc analysis of Work Programme statistics, to update </w:t>
      </w:r>
      <w:r w:rsidR="00886ABE" w:rsidRPr="000D583A">
        <w:t>an earlier table of statistics provided by DWP</w:t>
      </w:r>
      <w:r w:rsidR="00D02602" w:rsidRPr="000D583A">
        <w:t>. The earlier version had</w:t>
      </w:r>
      <w:r w:rsidR="00886ABE" w:rsidRPr="000D583A">
        <w:t xml:space="preserve"> covered the pe</w:t>
      </w:r>
      <w:r w:rsidR="001D1504">
        <w:t>riod 1 June 2011 to 31 March 2014</w:t>
      </w:r>
      <w:r w:rsidR="00886ABE" w:rsidRPr="000D583A">
        <w:t>.</w:t>
      </w:r>
    </w:p>
    <w:p w:rsidR="00203799" w:rsidRDefault="00203799" w:rsidP="00453DC2"/>
    <w:p w:rsidR="003335F8" w:rsidRDefault="001D1504" w:rsidP="00203799">
      <w:r>
        <w:t>This</w:t>
      </w:r>
      <w:r w:rsidR="00203799">
        <w:t xml:space="preserve"> briefing </w:t>
      </w:r>
      <w:r>
        <w:t>applies to Great Britain</w:t>
      </w:r>
      <w:r w:rsidR="00203799">
        <w:t xml:space="preserve">, </w:t>
      </w:r>
      <w:r>
        <w:t>with</w:t>
      </w:r>
      <w:r w:rsidR="00203799">
        <w:t xml:space="preserve"> a breakdown by country </w:t>
      </w:r>
      <w:r>
        <w:t>for two of the four tables detailed.</w:t>
      </w:r>
    </w:p>
    <w:p w:rsidR="00203799" w:rsidRPr="00203799" w:rsidRDefault="00203799" w:rsidP="00203799"/>
    <w:p w:rsidR="00AE1602" w:rsidRPr="000D583A" w:rsidRDefault="003335F8" w:rsidP="00453DC2">
      <w:r w:rsidRPr="00954F1F">
        <w:t xml:space="preserve">The statistics </w:t>
      </w:r>
      <w:r w:rsidR="00D02602" w:rsidRPr="00954F1F">
        <w:t>in this briefing relating to</w:t>
      </w:r>
      <w:r w:rsidRPr="00954F1F">
        <w:t xml:space="preserve"> Work Programme referrals, attachments and outcomes</w:t>
      </w:r>
      <w:r w:rsidR="00D02602" w:rsidRPr="00954F1F">
        <w:t xml:space="preserve"> for </w:t>
      </w:r>
      <w:r w:rsidR="00954F1F" w:rsidRPr="00954F1F">
        <w:t xml:space="preserve">all </w:t>
      </w:r>
      <w:r w:rsidR="001D1504">
        <w:t xml:space="preserve">people (i.e. not just those who were blind or partially sighted) </w:t>
      </w:r>
      <w:r w:rsidRPr="00954F1F">
        <w:t xml:space="preserve">were calculated </w:t>
      </w:r>
      <w:r w:rsidR="00954F1F" w:rsidRPr="00954F1F">
        <w:t>from the DWP published tables linked to t</w:t>
      </w:r>
      <w:r w:rsidR="00AE1602" w:rsidRPr="00954F1F">
        <w:t>he DWP'</w:t>
      </w:r>
      <w:r w:rsidR="001D1504">
        <w:t>s statistical release (DWP, 2015</w:t>
      </w:r>
      <w:r w:rsidR="00AE1602" w:rsidRPr="00954F1F">
        <w:t>)</w:t>
      </w:r>
      <w:r w:rsidR="00954F1F">
        <w:t xml:space="preserve">. The statistical release </w:t>
      </w:r>
      <w:r w:rsidR="00954F1F" w:rsidRPr="00954F1F">
        <w:t>also</w:t>
      </w:r>
      <w:r w:rsidR="00AE1602" w:rsidRPr="00954F1F">
        <w:t xml:space="preserve"> provides background information about the Work Programme and a range of statistics for</w:t>
      </w:r>
      <w:r w:rsidR="00AE1602" w:rsidRPr="000D583A">
        <w:t xml:space="preserve"> the Work Programme client population as a whole.</w:t>
      </w:r>
    </w:p>
    <w:p w:rsidR="00453DC2" w:rsidRPr="000D583A" w:rsidRDefault="00453DC2" w:rsidP="003C3B5E">
      <w:pPr>
        <w:rPr>
          <w:color w:val="002060"/>
        </w:rPr>
      </w:pPr>
    </w:p>
    <w:p w:rsidR="00F55279" w:rsidRPr="00203799" w:rsidRDefault="00453DC2" w:rsidP="00F55279">
      <w:pPr>
        <w:pStyle w:val="Heading3"/>
      </w:pPr>
      <w:r w:rsidRPr="00203799">
        <w:t>1.1</w:t>
      </w:r>
      <w:r w:rsidR="00F45FFF" w:rsidRPr="00203799">
        <w:tab/>
      </w:r>
      <w:r w:rsidR="00F55279" w:rsidRPr="00203799">
        <w:t>Definition of blind and partially sighted</w:t>
      </w:r>
    </w:p>
    <w:p w:rsidR="00F45FFF" w:rsidRPr="00203799" w:rsidRDefault="00F55279" w:rsidP="00F45FFF">
      <w:r w:rsidRPr="00203799">
        <w:t>DWP administrative data has a category 'Diseases of the Eye and Adnexa'. As this includes some acute medical conditions that do not cause vision impairment</w:t>
      </w:r>
      <w:r w:rsidR="00D02602" w:rsidRPr="00203799">
        <w:t>,</w:t>
      </w:r>
      <w:r w:rsidRPr="00203799">
        <w:t xml:space="preserve"> </w:t>
      </w:r>
      <w:r w:rsidR="00381291" w:rsidRPr="00203799">
        <w:t>claimants with these acute conditions are</w:t>
      </w:r>
      <w:r w:rsidRPr="00203799">
        <w:t xml:space="preserve"> exclude</w:t>
      </w:r>
      <w:r w:rsidR="00381291" w:rsidRPr="00203799">
        <w:t>d</w:t>
      </w:r>
      <w:r w:rsidRPr="00203799">
        <w:t xml:space="preserve"> </w:t>
      </w:r>
      <w:r w:rsidR="00381291" w:rsidRPr="00203799">
        <w:t>from the tables in this briefing</w:t>
      </w:r>
      <w:r w:rsidRPr="00203799">
        <w:t>.</w:t>
      </w:r>
      <w:r w:rsidR="00F45FFF" w:rsidRPr="00203799">
        <w:t xml:space="preserve"> </w:t>
      </w:r>
      <w:r w:rsidR="002528C1" w:rsidRPr="00203799">
        <w:t xml:space="preserve"> The tables are broken down by each </w:t>
      </w:r>
      <w:r w:rsidR="00F45FFF" w:rsidRPr="00203799">
        <w:t xml:space="preserve">of the 10 non-acute conditions in Diseases of the Eye and Adnexa </w:t>
      </w:r>
      <w:r w:rsidR="002528C1" w:rsidRPr="00203799">
        <w:t>detailed in a</w:t>
      </w:r>
      <w:r w:rsidR="00F45FFF" w:rsidRPr="00203799">
        <w:t xml:space="preserve">ppendix A. </w:t>
      </w:r>
    </w:p>
    <w:p w:rsidR="00F55279" w:rsidRPr="00203799" w:rsidRDefault="00F55279" w:rsidP="00F55279"/>
    <w:p w:rsidR="00203799" w:rsidRDefault="00F55279" w:rsidP="00203799">
      <w:r w:rsidRPr="00203799">
        <w:t>Throughout this document, claimants with Diseases of the Eye and Adnexa with conditions that are associated with visio</w:t>
      </w:r>
      <w:r w:rsidR="002528C1" w:rsidRPr="00203799">
        <w:t>n impairment (as detailed in</w:t>
      </w:r>
      <w:r w:rsidRPr="00203799">
        <w:t xml:space="preserve"> appendix</w:t>
      </w:r>
      <w:r w:rsidR="002528C1" w:rsidRPr="00203799">
        <w:t xml:space="preserve"> A</w:t>
      </w:r>
      <w:r w:rsidRPr="00203799">
        <w:t xml:space="preserve">) will be referred to as the </w:t>
      </w:r>
      <w:r w:rsidRPr="00203799">
        <w:rPr>
          <w:b/>
        </w:rPr>
        <w:t>BPS</w:t>
      </w:r>
      <w:r w:rsidRPr="00203799">
        <w:t xml:space="preserve"> group. </w:t>
      </w:r>
    </w:p>
    <w:p w:rsidR="00845955" w:rsidRPr="00942B17" w:rsidRDefault="00454470" w:rsidP="00845955">
      <w:pPr>
        <w:pStyle w:val="Heading2"/>
      </w:pPr>
      <w:r>
        <w:rPr>
          <w:noProof/>
        </w:rPr>
        <w:drawing>
          <wp:anchor distT="0" distB="0" distL="114300" distR="114300" simplePos="0" relativeHeight="251658240" behindDoc="0" locked="0" layoutInCell="1" allowOverlap="1">
            <wp:simplePos x="0" y="0"/>
            <wp:positionH relativeFrom="page">
              <wp:posOffset>-28575</wp:posOffset>
            </wp:positionH>
            <wp:positionV relativeFrom="page">
              <wp:posOffset>9605010</wp:posOffset>
            </wp:positionV>
            <wp:extent cx="7632700" cy="1079500"/>
            <wp:effectExtent l="0" t="0" r="0" b="0"/>
            <wp:wrapNone/>
            <wp:docPr id="3" name="Picture 3" descr="RNIB – supporting people with sight loss&#10;RNIB charity numbers 226227, SC039316 and 11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NIB – supporting people with sight loss&#10;RNIB charity numbers 226227, SC039316 and 1109&#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27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B17">
        <w:rPr>
          <w:color w:val="002060"/>
        </w:rPr>
        <w:br w:type="page"/>
      </w:r>
      <w:r w:rsidR="00845955" w:rsidRPr="00942B17">
        <w:lastRenderedPageBreak/>
        <w:t>2.</w:t>
      </w:r>
      <w:r w:rsidR="00845955" w:rsidRPr="00942B17">
        <w:tab/>
        <w:t>Key findings</w:t>
      </w:r>
    </w:p>
    <w:p w:rsidR="00E52022" w:rsidRPr="00942B17" w:rsidRDefault="00E52022" w:rsidP="00E52022"/>
    <w:p w:rsidR="00E52022" w:rsidRPr="00942B17" w:rsidRDefault="001E7FE5" w:rsidP="00E52022">
      <w:pPr>
        <w:pStyle w:val="Heading3"/>
      </w:pPr>
      <w:r w:rsidRPr="00942B17">
        <w:t>2.1</w:t>
      </w:r>
      <w:r w:rsidRPr="00942B17">
        <w:tab/>
        <w:t xml:space="preserve">Number of BPS </w:t>
      </w:r>
      <w:r w:rsidR="001D1504">
        <w:t>people</w:t>
      </w:r>
      <w:r w:rsidRPr="00942B17">
        <w:t xml:space="preserve"> referred to the Work Programme</w:t>
      </w:r>
      <w:r w:rsidR="009F1C61">
        <w:t xml:space="preserve"> in Great Britain and by country</w:t>
      </w:r>
    </w:p>
    <w:p w:rsidR="00527B85" w:rsidRPr="00942B17" w:rsidRDefault="00F26DA4" w:rsidP="00F26DA4">
      <w:r w:rsidRPr="00942B17">
        <w:t>Betwe</w:t>
      </w:r>
      <w:r w:rsidR="00BA419F" w:rsidRPr="00942B17">
        <w:t>en 1 June 2011 and 31 March 201</w:t>
      </w:r>
      <w:r w:rsidR="001D1504">
        <w:t>5</w:t>
      </w:r>
      <w:r w:rsidRPr="00942B17">
        <w:t xml:space="preserve"> a total of </w:t>
      </w:r>
      <w:r w:rsidR="001D1504">
        <w:t>1,14</w:t>
      </w:r>
      <w:r w:rsidR="00954F1F" w:rsidRPr="00942B17">
        <w:t>0</w:t>
      </w:r>
      <w:r w:rsidR="001D1504">
        <w:t xml:space="preserve"> BPS people</w:t>
      </w:r>
      <w:r w:rsidR="006063A4" w:rsidRPr="00942B17">
        <w:t xml:space="preserve"> were referred to the Work Programme, representing </w:t>
      </w:r>
      <w:r w:rsidR="00942B17" w:rsidRPr="00942B17">
        <w:t>0.06</w:t>
      </w:r>
      <w:r w:rsidR="001D1504">
        <w:t>6</w:t>
      </w:r>
      <w:r w:rsidR="00527B85" w:rsidRPr="00942B17">
        <w:t>%</w:t>
      </w:r>
      <w:r w:rsidR="006063A4" w:rsidRPr="00942B17">
        <w:t xml:space="preserve">, or </w:t>
      </w:r>
      <w:r w:rsidR="00942B17" w:rsidRPr="00942B17">
        <w:t>6</w:t>
      </w:r>
      <w:r w:rsidR="001D1504">
        <w:t>6</w:t>
      </w:r>
      <w:r w:rsidR="00942B17" w:rsidRPr="00942B17">
        <w:t xml:space="preserve"> in 10</w:t>
      </w:r>
      <w:r w:rsidR="004C72CA">
        <w:t>0</w:t>
      </w:r>
      <w:r w:rsidR="00942B17" w:rsidRPr="00942B17">
        <w:t>,000</w:t>
      </w:r>
      <w:r w:rsidR="006063A4" w:rsidRPr="00942B17">
        <w:t xml:space="preserve"> </w:t>
      </w:r>
      <w:r w:rsidR="00D02602" w:rsidRPr="00942B17">
        <w:t xml:space="preserve">of all </w:t>
      </w:r>
      <w:r w:rsidR="006063A4" w:rsidRPr="00942B17">
        <w:t>Work Programme referrals</w:t>
      </w:r>
      <w:r w:rsidR="00CC00E6">
        <w:t xml:space="preserve"> in Great Britain</w:t>
      </w:r>
      <w:r w:rsidR="00527B85" w:rsidRPr="00942B17">
        <w:t xml:space="preserve">. </w:t>
      </w:r>
    </w:p>
    <w:p w:rsidR="00466685" w:rsidRDefault="00466685" w:rsidP="00F26DA4">
      <w:pPr>
        <w:rPr>
          <w:color w:val="002060"/>
        </w:rPr>
      </w:pPr>
    </w:p>
    <w:p w:rsidR="00466685" w:rsidRPr="00CC00E6" w:rsidRDefault="005A4F2D" w:rsidP="005A4F2D">
      <w:pPr>
        <w:pStyle w:val="Heading4"/>
      </w:pPr>
      <w:r>
        <w:t xml:space="preserve">2.1.1 </w:t>
      </w:r>
      <w:r w:rsidR="00466685" w:rsidRPr="00CC00E6">
        <w:t>Broken down by country, the numbers of referrals were:</w:t>
      </w:r>
    </w:p>
    <w:p w:rsidR="00CC00E6" w:rsidRDefault="00CC00E6" w:rsidP="00F26DA4"/>
    <w:p w:rsidR="00CC00E6" w:rsidRDefault="00466685" w:rsidP="00CC00E6">
      <w:pPr>
        <w:numPr>
          <w:ilvl w:val="0"/>
          <w:numId w:val="24"/>
        </w:numPr>
      </w:pPr>
      <w:r w:rsidRPr="00CC00E6">
        <w:t>England:</w:t>
      </w:r>
      <w:r w:rsidR="001D1504">
        <w:t xml:space="preserve"> 1,000</w:t>
      </w:r>
    </w:p>
    <w:p w:rsidR="009F1C61" w:rsidRDefault="009F1C61" w:rsidP="009F1C61">
      <w:pPr>
        <w:numPr>
          <w:ilvl w:val="1"/>
          <w:numId w:val="24"/>
        </w:numPr>
      </w:pPr>
      <w:r>
        <w:t>87% of BPS referrals</w:t>
      </w:r>
    </w:p>
    <w:p w:rsidR="00CC00E6" w:rsidRDefault="00466685" w:rsidP="00CC00E6">
      <w:pPr>
        <w:numPr>
          <w:ilvl w:val="0"/>
          <w:numId w:val="24"/>
        </w:numPr>
      </w:pPr>
      <w:r w:rsidRPr="00CC00E6">
        <w:t>Scotland:</w:t>
      </w:r>
      <w:r w:rsidR="001D1504">
        <w:t xml:space="preserve"> 90</w:t>
      </w:r>
    </w:p>
    <w:p w:rsidR="009F1C61" w:rsidRDefault="009F1C61" w:rsidP="009F1C61">
      <w:pPr>
        <w:numPr>
          <w:ilvl w:val="1"/>
          <w:numId w:val="24"/>
        </w:numPr>
      </w:pPr>
      <w:r>
        <w:t>7.8% of BPS referrals</w:t>
      </w:r>
    </w:p>
    <w:p w:rsidR="00CC00E6" w:rsidRDefault="00466685" w:rsidP="00CC00E6">
      <w:pPr>
        <w:numPr>
          <w:ilvl w:val="0"/>
          <w:numId w:val="24"/>
        </w:numPr>
      </w:pPr>
      <w:r w:rsidRPr="00CC00E6">
        <w:t>Wales:</w:t>
      </w:r>
      <w:r w:rsidR="001D1504">
        <w:t xml:space="preserve"> 6</w:t>
      </w:r>
      <w:r w:rsidR="00CC00E6" w:rsidRPr="00CC00E6">
        <w:t>0</w:t>
      </w:r>
    </w:p>
    <w:p w:rsidR="009F1C61" w:rsidRDefault="009F1C61" w:rsidP="009F1C61">
      <w:pPr>
        <w:numPr>
          <w:ilvl w:val="1"/>
          <w:numId w:val="24"/>
        </w:numPr>
      </w:pPr>
      <w:r>
        <w:t>5.2% of BPS referrals</w:t>
      </w:r>
    </w:p>
    <w:p w:rsidR="001D1504" w:rsidRDefault="001D1504" w:rsidP="001D1504"/>
    <w:p w:rsidR="001D1504" w:rsidRDefault="001D1504" w:rsidP="001D1504">
      <w:pPr>
        <w:pStyle w:val="Heading3"/>
      </w:pPr>
      <w:r>
        <w:t>2.2</w:t>
      </w:r>
      <w:r>
        <w:tab/>
        <w:t>Number of BPS people referred to the Work Programme annually over a four-year period to 31 March 2015</w:t>
      </w:r>
    </w:p>
    <w:p w:rsidR="001D1504" w:rsidRDefault="00E81975" w:rsidP="001D1504">
      <w:r>
        <w:t>While the total number of</w:t>
      </w:r>
      <w:r w:rsidR="001D1504">
        <w:t xml:space="preserve"> blind and partially sighted people in Great Britain referred to the Work Programme</w:t>
      </w:r>
      <w:r>
        <w:t xml:space="preserve"> over a four-year period from June 2011 to March 2015 was </w:t>
      </w:r>
      <w:r w:rsidRPr="00E81975">
        <w:rPr>
          <w:b/>
        </w:rPr>
        <w:t>1,140</w:t>
      </w:r>
      <w:r>
        <w:t>, the annual breakdown was:</w:t>
      </w:r>
    </w:p>
    <w:p w:rsidR="00E81975" w:rsidRDefault="00E81975" w:rsidP="001D1504"/>
    <w:p w:rsidR="00E81975" w:rsidRPr="00E81975" w:rsidRDefault="00E81975" w:rsidP="00E81975">
      <w:pPr>
        <w:numPr>
          <w:ilvl w:val="0"/>
          <w:numId w:val="28"/>
        </w:numPr>
      </w:pPr>
      <w:r>
        <w:rPr>
          <w:b/>
        </w:rPr>
        <w:t xml:space="preserve">Year 1: </w:t>
      </w:r>
      <w:r>
        <w:t xml:space="preserve">June 2011 to March 2012: </w:t>
      </w:r>
      <w:r w:rsidRPr="00E81975">
        <w:rPr>
          <w:b/>
        </w:rPr>
        <w:t>280</w:t>
      </w:r>
    </w:p>
    <w:p w:rsidR="00E81975" w:rsidRDefault="00E81975" w:rsidP="00E81975">
      <w:pPr>
        <w:numPr>
          <w:ilvl w:val="1"/>
          <w:numId w:val="28"/>
        </w:numPr>
      </w:pPr>
      <w:r>
        <w:rPr>
          <w:b/>
        </w:rPr>
        <w:t xml:space="preserve">0.04% </w:t>
      </w:r>
      <w:r>
        <w:t>of all referrals</w:t>
      </w:r>
    </w:p>
    <w:p w:rsidR="00E81975" w:rsidRPr="00E81975" w:rsidRDefault="00E81975" w:rsidP="00E81975">
      <w:pPr>
        <w:numPr>
          <w:ilvl w:val="0"/>
          <w:numId w:val="28"/>
        </w:numPr>
      </w:pPr>
      <w:r>
        <w:rPr>
          <w:b/>
        </w:rPr>
        <w:t>Year 2:</w:t>
      </w:r>
      <w:r>
        <w:t xml:space="preserve"> April 2012 to March 2013: </w:t>
      </w:r>
      <w:r w:rsidRPr="00E81975">
        <w:rPr>
          <w:b/>
        </w:rPr>
        <w:t>390</w:t>
      </w:r>
    </w:p>
    <w:p w:rsidR="00E81975" w:rsidRDefault="00E81975" w:rsidP="00E81975">
      <w:pPr>
        <w:numPr>
          <w:ilvl w:val="1"/>
          <w:numId w:val="28"/>
        </w:numPr>
      </w:pPr>
      <w:r>
        <w:rPr>
          <w:b/>
        </w:rPr>
        <w:t>0.07%</w:t>
      </w:r>
      <w:r>
        <w:t xml:space="preserve"> of all referrals</w:t>
      </w:r>
    </w:p>
    <w:p w:rsidR="00E81975" w:rsidRPr="00E81975" w:rsidRDefault="00E81975" w:rsidP="00E81975">
      <w:pPr>
        <w:numPr>
          <w:ilvl w:val="0"/>
          <w:numId w:val="28"/>
        </w:numPr>
      </w:pPr>
      <w:r>
        <w:rPr>
          <w:b/>
        </w:rPr>
        <w:t>Year 3:</w:t>
      </w:r>
      <w:r>
        <w:t xml:space="preserve"> April 2013 to March 2014: </w:t>
      </w:r>
      <w:r w:rsidRPr="00E81975">
        <w:rPr>
          <w:b/>
        </w:rPr>
        <w:t>340</w:t>
      </w:r>
    </w:p>
    <w:p w:rsidR="00E81975" w:rsidRDefault="00E81975" w:rsidP="00E81975">
      <w:pPr>
        <w:numPr>
          <w:ilvl w:val="1"/>
          <w:numId w:val="28"/>
        </w:numPr>
      </w:pPr>
      <w:r>
        <w:rPr>
          <w:b/>
        </w:rPr>
        <w:t xml:space="preserve">0.09% </w:t>
      </w:r>
      <w:r>
        <w:t>of all referrals</w:t>
      </w:r>
    </w:p>
    <w:p w:rsidR="00E81975" w:rsidRPr="00E81975" w:rsidRDefault="00E81975" w:rsidP="00E81975">
      <w:pPr>
        <w:numPr>
          <w:ilvl w:val="0"/>
          <w:numId w:val="28"/>
        </w:numPr>
      </w:pPr>
      <w:r>
        <w:rPr>
          <w:b/>
        </w:rPr>
        <w:t>Year 4:</w:t>
      </w:r>
      <w:r>
        <w:t xml:space="preserve"> April 2014 to March 2015: </w:t>
      </w:r>
      <w:r w:rsidRPr="00E81975">
        <w:rPr>
          <w:b/>
        </w:rPr>
        <w:t>130</w:t>
      </w:r>
    </w:p>
    <w:p w:rsidR="00E81975" w:rsidRPr="001D1504" w:rsidRDefault="00E81975" w:rsidP="00E81975">
      <w:pPr>
        <w:numPr>
          <w:ilvl w:val="1"/>
          <w:numId w:val="28"/>
        </w:numPr>
      </w:pPr>
      <w:r>
        <w:rPr>
          <w:b/>
        </w:rPr>
        <w:t>0.07%</w:t>
      </w:r>
      <w:r>
        <w:t xml:space="preserve"> of all referrals</w:t>
      </w:r>
    </w:p>
    <w:p w:rsidR="00527B85" w:rsidRPr="000D583A" w:rsidRDefault="00527B85" w:rsidP="00F26DA4">
      <w:pPr>
        <w:rPr>
          <w:color w:val="002060"/>
        </w:rPr>
      </w:pPr>
    </w:p>
    <w:p w:rsidR="006063A4" w:rsidRPr="005A4F2D" w:rsidRDefault="00E81975" w:rsidP="006063A4">
      <w:pPr>
        <w:pStyle w:val="Heading3"/>
      </w:pPr>
      <w:r>
        <w:t>2.3</w:t>
      </w:r>
      <w:r w:rsidR="006063A4" w:rsidRPr="005A4F2D">
        <w:tab/>
        <w:t>Number of BPS Work Programme attachments</w:t>
      </w:r>
      <w:r w:rsidR="009F1C61">
        <w:t xml:space="preserve"> in Great Britain</w:t>
      </w:r>
    </w:p>
    <w:p w:rsidR="006063A4" w:rsidRPr="005A4F2D" w:rsidRDefault="006063A4" w:rsidP="006063A4">
      <w:r w:rsidRPr="005A4F2D">
        <w:t xml:space="preserve">Of the </w:t>
      </w:r>
      <w:r w:rsidR="00E81975">
        <w:t>1,140</w:t>
      </w:r>
      <w:r w:rsidRPr="005A4F2D">
        <w:t xml:space="preserve"> blind and partially sighted people</w:t>
      </w:r>
      <w:r w:rsidR="004C72CA">
        <w:t xml:space="preserve"> in Great Britain</w:t>
      </w:r>
      <w:r w:rsidRPr="005A4F2D">
        <w:t xml:space="preserve"> referred to the Work Programme during this period, </w:t>
      </w:r>
      <w:r w:rsidR="00E81975">
        <w:t>1,120</w:t>
      </w:r>
      <w:r w:rsidRPr="005A4F2D">
        <w:t xml:space="preserve"> were subsequently attached </w:t>
      </w:r>
      <w:r w:rsidR="006E57F8" w:rsidRPr="005A4F2D">
        <w:t xml:space="preserve">to a Work Service Provider, which is </w:t>
      </w:r>
      <w:r w:rsidR="00E81975">
        <w:t>98.2</w:t>
      </w:r>
      <w:r w:rsidR="006E57F8" w:rsidRPr="005A4F2D">
        <w:t xml:space="preserve">% of referrals. </w:t>
      </w:r>
      <w:r w:rsidR="00CA5DA0" w:rsidRPr="005A4F2D">
        <w:t xml:space="preserve">This is </w:t>
      </w:r>
      <w:r w:rsidR="00D21A70" w:rsidRPr="005A4F2D">
        <w:t>the same proportion as</w:t>
      </w:r>
      <w:r w:rsidR="00CA5DA0" w:rsidRPr="005A4F2D">
        <w:t xml:space="preserve"> the </w:t>
      </w:r>
      <w:r w:rsidR="00E81975">
        <w:t>98.0</w:t>
      </w:r>
      <w:r w:rsidR="005A4F2D" w:rsidRPr="005A4F2D">
        <w:t xml:space="preserve">% </w:t>
      </w:r>
      <w:r w:rsidR="0006743F" w:rsidRPr="005A4F2D">
        <w:t>of all WP referrals</w:t>
      </w:r>
      <w:r w:rsidR="005A4F2D">
        <w:t xml:space="preserve"> </w:t>
      </w:r>
      <w:r w:rsidR="005A4F2D" w:rsidRPr="005A4F2D">
        <w:t>who</w:t>
      </w:r>
      <w:r w:rsidR="0006743F" w:rsidRPr="005A4F2D">
        <w:t xml:space="preserve"> were subsequently attached to a provider.</w:t>
      </w:r>
      <w:r w:rsidR="00CA5DA0" w:rsidRPr="005A4F2D">
        <w:t xml:space="preserve"> </w:t>
      </w:r>
    </w:p>
    <w:p w:rsidR="00466685" w:rsidRDefault="00466685" w:rsidP="00466685">
      <w:pPr>
        <w:rPr>
          <w:color w:val="002060"/>
        </w:rPr>
      </w:pPr>
    </w:p>
    <w:p w:rsidR="00990930" w:rsidRDefault="00E81975" w:rsidP="00990930">
      <w:pPr>
        <w:pStyle w:val="Heading3"/>
      </w:pPr>
      <w:r>
        <w:lastRenderedPageBreak/>
        <w:t>2.4</w:t>
      </w:r>
      <w:r w:rsidR="00990930" w:rsidRPr="00644DDF">
        <w:tab/>
        <w:t xml:space="preserve">Number of BPS </w:t>
      </w:r>
      <w:r w:rsidR="005663A6" w:rsidRPr="00644DDF">
        <w:t xml:space="preserve">participants </w:t>
      </w:r>
      <w:r>
        <w:t>achieving</w:t>
      </w:r>
      <w:r w:rsidR="00375EC2" w:rsidRPr="00644DDF">
        <w:t xml:space="preserve"> a Work Programme Job Outcome p</w:t>
      </w:r>
      <w:r w:rsidR="005663A6" w:rsidRPr="00644DDF">
        <w:t>ayment</w:t>
      </w:r>
      <w:r w:rsidR="009F1C61">
        <w:t xml:space="preserve"> in Great Britain</w:t>
      </w:r>
    </w:p>
    <w:p w:rsidR="009F1C61" w:rsidRDefault="00E81975" w:rsidP="00990930">
      <w:r>
        <w:t xml:space="preserve">Of the 1,140 BPS people </w:t>
      </w:r>
      <w:r w:rsidR="009F1C61">
        <w:t xml:space="preserve">in Great Britain </w:t>
      </w:r>
      <w:r>
        <w:t xml:space="preserve">referred to the Work Programme between June 2011 and March 2015, </w:t>
      </w:r>
      <w:r w:rsidR="009F1C61">
        <w:t xml:space="preserve">1,110 were on the programme for a sufficient amount of time to enable them to achieve a Job Outcome payment. </w:t>
      </w:r>
    </w:p>
    <w:p w:rsidR="009F1C61" w:rsidRDefault="009F1C61" w:rsidP="00990930"/>
    <w:p w:rsidR="00C07337" w:rsidRDefault="009F1C61" w:rsidP="00990930">
      <w:r>
        <w:t>However, only 9</w:t>
      </w:r>
      <w:r w:rsidR="00375EC2" w:rsidRPr="00644DDF">
        <w:t>0</w:t>
      </w:r>
      <w:r w:rsidR="00990930" w:rsidRPr="00644DDF">
        <w:t xml:space="preserve"> BPS </w:t>
      </w:r>
      <w:r>
        <w:t>participants</w:t>
      </w:r>
      <w:r w:rsidR="00990930" w:rsidRPr="00644DDF">
        <w:t xml:space="preserve"> </w:t>
      </w:r>
      <w:r w:rsidR="00950100">
        <w:t xml:space="preserve">in Great Britain </w:t>
      </w:r>
      <w:r w:rsidRPr="009F1C61">
        <w:rPr>
          <w:b/>
          <w:i/>
        </w:rPr>
        <w:t>actually</w:t>
      </w:r>
      <w:r>
        <w:t xml:space="preserve"> </w:t>
      </w:r>
      <w:r w:rsidR="00F95B64" w:rsidRPr="00644DDF">
        <w:t>qualified for</w:t>
      </w:r>
      <w:r>
        <w:t xml:space="preserve"> a Job O</w:t>
      </w:r>
      <w:r w:rsidR="00990930" w:rsidRPr="00644DDF">
        <w:t>utcome</w:t>
      </w:r>
      <w:r w:rsidR="00F95B64" w:rsidRPr="00644DDF">
        <w:t xml:space="preserve"> payment</w:t>
      </w:r>
      <w:r w:rsidR="00A51624">
        <w:t xml:space="preserve">, </w:t>
      </w:r>
      <w:r w:rsidR="00F144DE" w:rsidRPr="00644DDF">
        <w:t>represen</w:t>
      </w:r>
      <w:r>
        <w:t>t</w:t>
      </w:r>
      <w:r w:rsidR="00A51624">
        <w:t>ing</w:t>
      </w:r>
      <w:r>
        <w:t xml:space="preserve"> </w:t>
      </w:r>
      <w:r w:rsidRPr="00A51624">
        <w:rPr>
          <w:b/>
        </w:rPr>
        <w:t>8.1</w:t>
      </w:r>
      <w:r w:rsidR="00375EC2" w:rsidRPr="00A51624">
        <w:rPr>
          <w:b/>
        </w:rPr>
        <w:t>%</w:t>
      </w:r>
      <w:r w:rsidR="00A51624">
        <w:rPr>
          <w:b/>
        </w:rPr>
        <w:t xml:space="preserve"> </w:t>
      </w:r>
      <w:r w:rsidR="00990930" w:rsidRPr="00644DDF">
        <w:t>o</w:t>
      </w:r>
      <w:r w:rsidR="00375EC2" w:rsidRPr="00644DDF">
        <w:t xml:space="preserve">f BPS </w:t>
      </w:r>
      <w:r>
        <w:t>people that could hav</w:t>
      </w:r>
      <w:r w:rsidR="00A51624">
        <w:t>e done so. This</w:t>
      </w:r>
      <w:r>
        <w:t xml:space="preserve"> is </w:t>
      </w:r>
      <w:r w:rsidR="00644DDF" w:rsidRPr="00644DDF">
        <w:t>significantly lower than the proportion of</w:t>
      </w:r>
      <w:r>
        <w:t xml:space="preserve"> all participants</w:t>
      </w:r>
      <w:r w:rsidR="00A869CF" w:rsidRPr="00644DDF">
        <w:t xml:space="preserve"> </w:t>
      </w:r>
      <w:r w:rsidR="00A51624">
        <w:t>achieving a Job O</w:t>
      </w:r>
      <w:r w:rsidR="00644DDF" w:rsidRPr="00644DDF">
        <w:t xml:space="preserve">utcome </w:t>
      </w:r>
      <w:r w:rsidR="00A51624">
        <w:t xml:space="preserve">payment that were eligible to do so, which was </w:t>
      </w:r>
      <w:r w:rsidR="00A51624" w:rsidRPr="00A51624">
        <w:rPr>
          <w:b/>
        </w:rPr>
        <w:t>25.9%.</w:t>
      </w:r>
    </w:p>
    <w:p w:rsidR="009F1C61" w:rsidRDefault="009F1C61" w:rsidP="00990930">
      <w:pPr>
        <w:rPr>
          <w:color w:val="002060"/>
        </w:rPr>
      </w:pPr>
    </w:p>
    <w:p w:rsidR="005D3D7B" w:rsidRDefault="00664D63" w:rsidP="00644DDF">
      <w:pPr>
        <w:pStyle w:val="Heading4"/>
      </w:pPr>
      <w:r>
        <w:t>2.4</w:t>
      </w:r>
      <w:r w:rsidR="00644DDF">
        <w:t xml:space="preserve">.1 </w:t>
      </w:r>
      <w:r w:rsidR="005D3D7B">
        <w:t xml:space="preserve">Broken down by country, the numbers of blind and partially sighted people who </w:t>
      </w:r>
      <w:r w:rsidR="00F95B64">
        <w:t>qualified</w:t>
      </w:r>
      <w:r w:rsidR="00644DDF">
        <w:t xml:space="preserve"> for</w:t>
      </w:r>
      <w:r w:rsidR="00F95B64">
        <w:t xml:space="preserve"> job outcome payments</w:t>
      </w:r>
      <w:r w:rsidR="005D3D7B">
        <w:t xml:space="preserve"> were:</w:t>
      </w:r>
    </w:p>
    <w:p w:rsidR="00644DDF" w:rsidRDefault="00644DDF" w:rsidP="005D3D7B">
      <w:pPr>
        <w:rPr>
          <w:color w:val="002060"/>
        </w:rPr>
      </w:pPr>
    </w:p>
    <w:p w:rsidR="005D3D7B" w:rsidRDefault="005D3D7B" w:rsidP="00644DDF">
      <w:pPr>
        <w:numPr>
          <w:ilvl w:val="0"/>
          <w:numId w:val="26"/>
        </w:numPr>
      </w:pPr>
      <w:r w:rsidRPr="00644DDF">
        <w:t>England:</w:t>
      </w:r>
      <w:r w:rsidR="00644DDF">
        <w:t xml:space="preserve"> </w:t>
      </w:r>
      <w:r w:rsidR="00664D63">
        <w:t>80</w:t>
      </w:r>
    </w:p>
    <w:p w:rsidR="00664D63" w:rsidRDefault="00664D63" w:rsidP="00664D63">
      <w:pPr>
        <w:numPr>
          <w:ilvl w:val="1"/>
          <w:numId w:val="26"/>
        </w:numPr>
      </w:pPr>
      <w:r>
        <w:t>8.2% of BPS people in England qualified to do so</w:t>
      </w:r>
    </w:p>
    <w:p w:rsidR="005D3D7B" w:rsidRDefault="005D3D7B" w:rsidP="00644DDF">
      <w:pPr>
        <w:numPr>
          <w:ilvl w:val="0"/>
          <w:numId w:val="26"/>
        </w:numPr>
      </w:pPr>
      <w:r w:rsidRPr="00644DDF">
        <w:t>Scotland:</w:t>
      </w:r>
      <w:r w:rsidR="00664D63">
        <w:t xml:space="preserve"> 10</w:t>
      </w:r>
    </w:p>
    <w:p w:rsidR="00664D63" w:rsidRPr="00644DDF" w:rsidRDefault="00664D63" w:rsidP="00664D63">
      <w:pPr>
        <w:numPr>
          <w:ilvl w:val="1"/>
          <w:numId w:val="26"/>
        </w:numPr>
      </w:pPr>
      <w:r>
        <w:t>5.9% of all BPS people in Scotland qualified to do so</w:t>
      </w:r>
    </w:p>
    <w:p w:rsidR="005D3D7B" w:rsidRDefault="005D3D7B" w:rsidP="00644DDF">
      <w:pPr>
        <w:numPr>
          <w:ilvl w:val="0"/>
          <w:numId w:val="26"/>
        </w:numPr>
      </w:pPr>
      <w:r w:rsidRPr="00644DDF">
        <w:t>Wales:</w:t>
      </w:r>
      <w:r w:rsidR="00664D63">
        <w:t xml:space="preserve"> 10</w:t>
      </w:r>
    </w:p>
    <w:p w:rsidR="00664D63" w:rsidRPr="00644DDF" w:rsidRDefault="00664D63" w:rsidP="00664D63">
      <w:pPr>
        <w:numPr>
          <w:ilvl w:val="1"/>
          <w:numId w:val="26"/>
        </w:numPr>
      </w:pPr>
      <w:r>
        <w:t>9.9% of all BPS people in Wales qualified to do so.</w:t>
      </w:r>
    </w:p>
    <w:p w:rsidR="005D3D7B" w:rsidRPr="000D583A" w:rsidRDefault="005D3D7B" w:rsidP="00990930">
      <w:pPr>
        <w:rPr>
          <w:color w:val="002060"/>
        </w:rPr>
      </w:pPr>
    </w:p>
    <w:p w:rsidR="00D826E3" w:rsidRDefault="00664D63" w:rsidP="00664D63">
      <w:pPr>
        <w:pStyle w:val="Heading3"/>
      </w:pPr>
      <w:r>
        <w:t>2.5 The status of all Work Programme Referrals for BPS people in Great Britain between June 2011 and March 2015</w:t>
      </w:r>
    </w:p>
    <w:p w:rsidR="00664D63" w:rsidRDefault="004C73AA" w:rsidP="00664D63">
      <w:r>
        <w:t>According to DWP:</w:t>
      </w:r>
    </w:p>
    <w:p w:rsidR="004C73AA" w:rsidRDefault="004C73AA" w:rsidP="00664D63"/>
    <w:p w:rsidR="004C73AA" w:rsidRDefault="004C73AA" w:rsidP="004C73AA">
      <w:pPr>
        <w:ind w:left="720"/>
      </w:pPr>
      <w:r>
        <w:t>“</w:t>
      </w:r>
      <w:r w:rsidRPr="004C73AA">
        <w:t>Once referred, individuals generally remain on the scheme for two years. Those out of work at this point return to Jobcentre Plus. Providers can continue to receive payments after this, up to the maximum allowable, if individuals remain in work. Payments end following a break in employment after the two year point</w:t>
      </w:r>
      <w:r>
        <w:t>.” (DWP, 2015, p6)</w:t>
      </w:r>
    </w:p>
    <w:p w:rsidR="00C33713" w:rsidRDefault="00C33713" w:rsidP="004C73AA">
      <w:pPr>
        <w:ind w:left="720"/>
      </w:pPr>
    </w:p>
    <w:p w:rsidR="00A33BED" w:rsidRDefault="00C33713" w:rsidP="00C33713">
      <w:r>
        <w:t>Of the 1,140 BPS people referred to the Work Programme between June 2011 and March 2015</w:t>
      </w:r>
      <w:r w:rsidR="00A33BED">
        <w:t>:</w:t>
      </w:r>
    </w:p>
    <w:p w:rsidR="00A33BED" w:rsidRDefault="00A33BED" w:rsidP="00C33713"/>
    <w:p w:rsidR="00C33713" w:rsidRDefault="00A33BED" w:rsidP="00A33BED">
      <w:pPr>
        <w:numPr>
          <w:ilvl w:val="0"/>
          <w:numId w:val="29"/>
        </w:numPr>
      </w:pPr>
      <w:r>
        <w:t>N</w:t>
      </w:r>
      <w:r w:rsidR="00C33713">
        <w:t>early three in</w:t>
      </w:r>
      <w:r w:rsidR="005F6CCA">
        <w:t xml:space="preserve"> five (57.9%) completed the allotted</w:t>
      </w:r>
      <w:r w:rsidR="00C33713">
        <w:t xml:space="preserve"> two years on the programme, which is the same proportion as for all people referred to the Work Programme.</w:t>
      </w:r>
    </w:p>
    <w:p w:rsidR="00C33713" w:rsidRDefault="00C33713" w:rsidP="00A33BED">
      <w:pPr>
        <w:numPr>
          <w:ilvl w:val="0"/>
          <w:numId w:val="29"/>
        </w:numPr>
      </w:pPr>
      <w:r>
        <w:t>Four</w:t>
      </w:r>
      <w:r w:rsidR="00A33BED">
        <w:t xml:space="preserve"> in ten (39.5%) </w:t>
      </w:r>
      <w:r>
        <w:t xml:space="preserve">were still on </w:t>
      </w:r>
      <w:r w:rsidR="00B40FFE">
        <w:t xml:space="preserve">the </w:t>
      </w:r>
      <w:r w:rsidR="00A33BED">
        <w:t>p</w:t>
      </w:r>
      <w:r w:rsidR="00B40FFE">
        <w:t xml:space="preserve">rogramme compared to </w:t>
      </w:r>
      <w:r>
        <w:t>three in ten (29.9%), which was the proportion of all people still on the programme.</w:t>
      </w:r>
    </w:p>
    <w:p w:rsidR="00A33BED" w:rsidRDefault="00A33BED" w:rsidP="00A33BED"/>
    <w:p w:rsidR="002A7612" w:rsidRDefault="005F6CCA" w:rsidP="005F6CCA">
      <w:pPr>
        <w:ind w:left="360"/>
      </w:pPr>
      <w:r>
        <w:t>Of the 660 BPS people that completed the allotted two years on the programme:</w:t>
      </w:r>
    </w:p>
    <w:p w:rsidR="005F6CCA" w:rsidRDefault="005F6CCA" w:rsidP="005F6CCA">
      <w:pPr>
        <w:numPr>
          <w:ilvl w:val="0"/>
          <w:numId w:val="31"/>
        </w:numPr>
      </w:pPr>
      <w:r>
        <w:lastRenderedPageBreak/>
        <w:t xml:space="preserve">7.5% achieved a Job Outcome compared with </w:t>
      </w:r>
      <w:r w:rsidR="00C6216B">
        <w:t>16.6</w:t>
      </w:r>
      <w:r>
        <w:t>% of all people who completed the allotted two years.</w:t>
      </w:r>
    </w:p>
    <w:p w:rsidR="00664D63" w:rsidRPr="00664D63" w:rsidRDefault="00664D63" w:rsidP="00664D63"/>
    <w:p w:rsidR="0015624E" w:rsidRPr="00080813" w:rsidRDefault="0015624E" w:rsidP="00080813">
      <w:pPr>
        <w:pStyle w:val="Heading2"/>
      </w:pPr>
      <w:r w:rsidRPr="00080813">
        <w:t>3.</w:t>
      </w:r>
      <w:r w:rsidRPr="00080813">
        <w:tab/>
        <w:t>Conclusion</w:t>
      </w:r>
    </w:p>
    <w:p w:rsidR="00080813" w:rsidRPr="00980B85" w:rsidRDefault="0015624E" w:rsidP="0015624E">
      <w:r w:rsidRPr="00980B85">
        <w:t>From the figures provided in this briefi</w:t>
      </w:r>
      <w:r w:rsidR="00C4411D" w:rsidRPr="00980B85">
        <w:t xml:space="preserve">ng it is apparent </w:t>
      </w:r>
      <w:r w:rsidR="00080813" w:rsidRPr="00980B85">
        <w:t xml:space="preserve">that at around 6 per 10,000 of all referrals </w:t>
      </w:r>
      <w:r w:rsidR="00980B85" w:rsidRPr="00980B85">
        <w:t>between June 2011 and March 2015</w:t>
      </w:r>
      <w:r w:rsidR="00080813" w:rsidRPr="00980B85">
        <w:t xml:space="preserve">, </w:t>
      </w:r>
      <w:r w:rsidRPr="00980B85">
        <w:t>blind and partially sighted individuals</w:t>
      </w:r>
      <w:r w:rsidR="00C4411D" w:rsidRPr="00980B85">
        <w:t xml:space="preserve"> </w:t>
      </w:r>
      <w:r w:rsidR="00080813" w:rsidRPr="00980B85">
        <w:t>represent only a tiny proportion of the overall number of participants on the Work Programme. This is perhaps not surprising as the prevalence of blindness and partial sight in the working age population is also low</w:t>
      </w:r>
      <w:r w:rsidR="00FD002A" w:rsidRPr="00980B85">
        <w:t>. The total number of people referred to the Work Programme over this period was</w:t>
      </w:r>
      <w:r w:rsidR="00980B85" w:rsidRPr="00980B85">
        <w:t xml:space="preserve"> 1,140</w:t>
      </w:r>
      <w:r w:rsidR="00FD002A" w:rsidRPr="00980B85">
        <w:t xml:space="preserve">, the vast majority of whom (nearly 9 in 10) were in England. </w:t>
      </w:r>
    </w:p>
    <w:p w:rsidR="00080813" w:rsidRPr="00C05291" w:rsidRDefault="00080813" w:rsidP="0015624E">
      <w:pPr>
        <w:rPr>
          <w:color w:val="FF0000"/>
        </w:rPr>
      </w:pPr>
    </w:p>
    <w:p w:rsidR="00AB5748" w:rsidRDefault="00980B85" w:rsidP="0015624E">
      <w:r w:rsidRPr="00980B85">
        <w:t>T</w:t>
      </w:r>
      <w:r w:rsidR="00655F48" w:rsidRPr="00980B85">
        <w:t>he</w:t>
      </w:r>
      <w:r w:rsidR="0015624E" w:rsidRPr="00980B85">
        <w:t xml:space="preserve"> </w:t>
      </w:r>
      <w:r w:rsidR="00655F48" w:rsidRPr="00980B85">
        <w:t>proportion of BPS people attaining employment as result of their parti</w:t>
      </w:r>
      <w:r w:rsidR="00AB5748" w:rsidRPr="00980B85">
        <w:t>cipation in the Work Programme remains</w:t>
      </w:r>
      <w:r w:rsidR="00655F48" w:rsidRPr="00980B85">
        <w:t xml:space="preserve"> </w:t>
      </w:r>
      <w:r w:rsidR="0015624E" w:rsidRPr="00980B85">
        <w:t xml:space="preserve">substantially smaller than </w:t>
      </w:r>
      <w:r w:rsidR="00655F48" w:rsidRPr="00980B85">
        <w:t xml:space="preserve">the </w:t>
      </w:r>
      <w:r w:rsidR="00AB5748" w:rsidRPr="00980B85">
        <w:t>overall</w:t>
      </w:r>
      <w:r w:rsidR="00655F48" w:rsidRPr="00980B85">
        <w:t xml:space="preserve"> population of WP</w:t>
      </w:r>
      <w:r w:rsidR="00AB5748" w:rsidRPr="00980B85">
        <w:t xml:space="preserve"> referrals</w:t>
      </w:r>
      <w:r>
        <w:t xml:space="preserve"> who found jobs</w:t>
      </w:r>
      <w:r w:rsidR="00AB5748" w:rsidRPr="00980B85">
        <w:t xml:space="preserve">. </w:t>
      </w:r>
      <w:r w:rsidRPr="00980B85">
        <w:t xml:space="preserve">Only eight in 100 blind and partially sighted people </w:t>
      </w:r>
      <w:r>
        <w:t>who were on the Work Programme for a sufficient length of time to enable them to achieve a Job Outcome payment actually did so, compared with over one in four of all qualifying Work Programme participants.</w:t>
      </w:r>
      <w:r w:rsidR="00973814">
        <w:t xml:space="preserve"> </w:t>
      </w:r>
    </w:p>
    <w:p w:rsidR="00973814" w:rsidRDefault="00973814" w:rsidP="0015624E"/>
    <w:p w:rsidR="00C44605" w:rsidRPr="00C05291" w:rsidRDefault="00E42D88" w:rsidP="00D25543">
      <w:pPr>
        <w:rPr>
          <w:color w:val="FF0000"/>
        </w:rPr>
        <w:sectPr w:rsidR="00C44605" w:rsidRPr="00C05291" w:rsidSect="00C44605">
          <w:footerReference w:type="even" r:id="rId11"/>
          <w:footerReference w:type="default" r:id="rId12"/>
          <w:footerReference w:type="first" r:id="rId13"/>
          <w:pgSz w:w="11906" w:h="16838" w:code="9"/>
          <w:pgMar w:top="1440" w:right="851" w:bottom="1440" w:left="851" w:header="720" w:footer="720" w:gutter="0"/>
          <w:cols w:space="720"/>
          <w:titlePg/>
        </w:sectPr>
      </w:pPr>
      <w:r w:rsidRPr="00980B85">
        <w:t>The</w:t>
      </w:r>
      <w:r w:rsidR="00C3643B" w:rsidRPr="00980B85">
        <w:t xml:space="preserve"> </w:t>
      </w:r>
      <w:r w:rsidR="00C3643B" w:rsidRPr="00980B85">
        <w:rPr>
          <w:b/>
        </w:rPr>
        <w:t>key message</w:t>
      </w:r>
      <w:r w:rsidR="00C3643B" w:rsidRPr="00980B85">
        <w:t xml:space="preserve"> to be taken from these statistics</w:t>
      </w:r>
      <w:r w:rsidR="00C677E6" w:rsidRPr="00980B85">
        <w:t xml:space="preserve"> therefore</w:t>
      </w:r>
      <w:r w:rsidR="00C3643B" w:rsidRPr="00980B85">
        <w:t xml:space="preserve"> is that </w:t>
      </w:r>
      <w:r w:rsidR="00C677E6" w:rsidRPr="00980B85">
        <w:t>comparatively</w:t>
      </w:r>
      <w:r w:rsidR="00C3643B" w:rsidRPr="00980B85">
        <w:t xml:space="preserve"> few blind and partially sighted individuals are benefitting from </w:t>
      </w:r>
      <w:r w:rsidR="00980B85" w:rsidRPr="00980B85">
        <w:t>the Work Programme, with only 9</w:t>
      </w:r>
      <w:r w:rsidR="00C677E6" w:rsidRPr="00980B85">
        <w:t>0</w:t>
      </w:r>
      <w:r w:rsidR="00C3643B" w:rsidRPr="00980B85">
        <w:t xml:space="preserve"> people </w:t>
      </w:r>
      <w:r w:rsidR="00C677E6" w:rsidRPr="00980B85">
        <w:t xml:space="preserve">in Great Britain </w:t>
      </w:r>
      <w:r w:rsidR="00C3643B" w:rsidRPr="00980B85">
        <w:t xml:space="preserve">having gained employment as a result of their participation </w:t>
      </w:r>
      <w:r w:rsidR="00C677E6" w:rsidRPr="00980B85">
        <w:t>between June 2011</w:t>
      </w:r>
      <w:r w:rsidR="00C3643B" w:rsidRPr="00980B85">
        <w:t xml:space="preserve"> </w:t>
      </w:r>
      <w:r w:rsidR="00C677E6" w:rsidRPr="00980B85">
        <w:t>an</w:t>
      </w:r>
      <w:r w:rsidR="00980B85" w:rsidRPr="00980B85">
        <w:t>d March 2015</w:t>
      </w:r>
      <w:r w:rsidR="00C3643B" w:rsidRPr="00C05291">
        <w:rPr>
          <w:color w:val="FF0000"/>
        </w:rPr>
        <w:t>.</w:t>
      </w:r>
      <w:r w:rsidR="0051043B" w:rsidRPr="00C05291">
        <w:rPr>
          <w:color w:val="FF0000"/>
        </w:rPr>
        <w:t xml:space="preserve"> </w:t>
      </w:r>
      <w:r w:rsidR="0092665A" w:rsidRPr="0092665A">
        <w:t>A</w:t>
      </w:r>
      <w:r w:rsidR="0051043B" w:rsidRPr="0092665A">
        <w:t xml:space="preserve"> </w:t>
      </w:r>
      <w:r w:rsidR="0051043B" w:rsidRPr="0092665A">
        <w:rPr>
          <w:b/>
        </w:rPr>
        <w:t>key question</w:t>
      </w:r>
      <w:r w:rsidR="0051043B" w:rsidRPr="0092665A">
        <w:t xml:space="preserve"> is w</w:t>
      </w:r>
      <w:r w:rsidR="0092665A" w:rsidRPr="0092665A">
        <w:t>hat has happened to the 600</w:t>
      </w:r>
      <w:r w:rsidR="0051043B" w:rsidRPr="0092665A">
        <w:t xml:space="preserve"> BPS people </w:t>
      </w:r>
      <w:r w:rsidR="0092665A" w:rsidRPr="0092665A">
        <w:t>who completed their two years on the Work Programme and were returned to Jobcentre Plus without having secured a job</w:t>
      </w:r>
      <w:r w:rsidR="0092665A">
        <w:t>, as well as the remaining 450 people still on the program</w:t>
      </w:r>
      <w:r w:rsidR="00D25543">
        <w:t>me at the end of March 2015?</w:t>
      </w:r>
    </w:p>
    <w:p w:rsidR="00FF0298" w:rsidRPr="00E375AF" w:rsidRDefault="00FF0298" w:rsidP="00E42D88">
      <w:pPr>
        <w:pStyle w:val="Heading3"/>
      </w:pPr>
      <w:r w:rsidRPr="00E375AF">
        <w:lastRenderedPageBreak/>
        <w:t xml:space="preserve">Table 1: </w:t>
      </w:r>
      <w:r w:rsidR="00435C91">
        <w:t>Time series showing n</w:t>
      </w:r>
      <w:r w:rsidRPr="00E375AF">
        <w:t>umber of Work Progr</w:t>
      </w:r>
      <w:r w:rsidR="00435C91">
        <w:t>amme Referrals, Attachments and Job Outcome p</w:t>
      </w:r>
      <w:r w:rsidR="00DB7026" w:rsidRPr="00E375AF">
        <w:t>ayments</w:t>
      </w:r>
      <w:r w:rsidR="00E375AF" w:rsidRPr="00E375AF">
        <w:t xml:space="preserve"> </w:t>
      </w:r>
      <w:r w:rsidR="00D548D5">
        <w:t>for people</w:t>
      </w:r>
      <w:r w:rsidRPr="00E375AF">
        <w:t xml:space="preserve"> with non-acute Diseases of the Eye and Adnexa</w:t>
      </w:r>
      <w:r w:rsidR="00E375AF" w:rsidRPr="00E375AF">
        <w:t xml:space="preserve"> </w:t>
      </w:r>
      <w:r w:rsidRPr="00E375AF">
        <w:t xml:space="preserve">1 June 2011 to 31 </w:t>
      </w:r>
      <w:r w:rsidR="00435C91">
        <w:t>March 2015</w:t>
      </w:r>
      <w:r w:rsidR="00DB7026" w:rsidRPr="00E375AF">
        <w:t xml:space="preserve"> (Great Britain)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1524"/>
        <w:gridCol w:w="1478"/>
        <w:gridCol w:w="2006"/>
        <w:gridCol w:w="1851"/>
        <w:gridCol w:w="1727"/>
        <w:gridCol w:w="1508"/>
      </w:tblGrid>
      <w:tr w:rsidR="00435C91" w:rsidRPr="002B78DB" w:rsidTr="004C63A6">
        <w:tc>
          <w:tcPr>
            <w:tcW w:w="4080" w:type="dxa"/>
          </w:tcPr>
          <w:p w:rsidR="00435C91" w:rsidRPr="00E375AF" w:rsidRDefault="00435C91" w:rsidP="007949E9">
            <w:r>
              <w:t>Time period</w:t>
            </w:r>
          </w:p>
        </w:tc>
        <w:tc>
          <w:tcPr>
            <w:tcW w:w="1524" w:type="dxa"/>
          </w:tcPr>
          <w:p w:rsidR="00435C91" w:rsidRPr="00435C91" w:rsidRDefault="00D548D5" w:rsidP="007949E9">
            <w:pPr>
              <w:rPr>
                <w:b/>
              </w:rPr>
            </w:pPr>
            <w:r>
              <w:rPr>
                <w:b/>
              </w:rPr>
              <w:t>Referrals: BPS people</w:t>
            </w:r>
          </w:p>
        </w:tc>
        <w:tc>
          <w:tcPr>
            <w:tcW w:w="1478" w:type="dxa"/>
          </w:tcPr>
          <w:p w:rsidR="00435C91" w:rsidRPr="00E375AF" w:rsidRDefault="00435C91" w:rsidP="007949E9">
            <w:r>
              <w:t xml:space="preserve">Referrals: All </w:t>
            </w:r>
            <w:r w:rsidR="00D548D5">
              <w:t>people</w:t>
            </w:r>
          </w:p>
        </w:tc>
        <w:tc>
          <w:tcPr>
            <w:tcW w:w="2006" w:type="dxa"/>
          </w:tcPr>
          <w:p w:rsidR="00435C91" w:rsidRPr="00435C91" w:rsidRDefault="00D548D5" w:rsidP="007949E9">
            <w:pPr>
              <w:rPr>
                <w:b/>
              </w:rPr>
            </w:pPr>
            <w:r>
              <w:rPr>
                <w:b/>
              </w:rPr>
              <w:t>Attachments: BPS people</w:t>
            </w:r>
          </w:p>
        </w:tc>
        <w:tc>
          <w:tcPr>
            <w:tcW w:w="1851" w:type="dxa"/>
          </w:tcPr>
          <w:p w:rsidR="00435C91" w:rsidRPr="00E375AF" w:rsidRDefault="00435C91" w:rsidP="007949E9">
            <w:r>
              <w:t xml:space="preserve">Attachments: All </w:t>
            </w:r>
            <w:r w:rsidR="00D548D5">
              <w:t>people</w:t>
            </w:r>
          </w:p>
        </w:tc>
        <w:tc>
          <w:tcPr>
            <w:tcW w:w="1727" w:type="dxa"/>
          </w:tcPr>
          <w:p w:rsidR="00435C91" w:rsidRPr="00435C91" w:rsidRDefault="00435C91" w:rsidP="007949E9">
            <w:pPr>
              <w:rPr>
                <w:b/>
              </w:rPr>
            </w:pPr>
            <w:r w:rsidRPr="00435C91">
              <w:rPr>
                <w:b/>
              </w:rPr>
              <w:t>Job</w:t>
            </w:r>
            <w:r w:rsidR="00D548D5">
              <w:rPr>
                <w:b/>
              </w:rPr>
              <w:t xml:space="preserve"> outcome payments: BPS people</w:t>
            </w:r>
          </w:p>
        </w:tc>
        <w:tc>
          <w:tcPr>
            <w:tcW w:w="1508" w:type="dxa"/>
          </w:tcPr>
          <w:p w:rsidR="00435C91" w:rsidRPr="00E375AF" w:rsidRDefault="00435C91" w:rsidP="007949E9">
            <w:r w:rsidRPr="00E375AF">
              <w:t>Job outcome payments</w:t>
            </w:r>
            <w:r>
              <w:t xml:space="preserve">: All </w:t>
            </w:r>
            <w:r w:rsidR="00D548D5">
              <w:t>people</w:t>
            </w:r>
          </w:p>
        </w:tc>
      </w:tr>
      <w:tr w:rsidR="004C63A6" w:rsidRPr="002B78DB" w:rsidTr="004C63A6">
        <w:tc>
          <w:tcPr>
            <w:tcW w:w="4080" w:type="dxa"/>
            <w:tcBorders>
              <w:bottom w:val="single" w:sz="4" w:space="0" w:color="auto"/>
            </w:tcBorders>
          </w:tcPr>
          <w:p w:rsidR="004C63A6" w:rsidRPr="00435C91" w:rsidRDefault="004C63A6" w:rsidP="007949E9">
            <w:r w:rsidRPr="00435C91">
              <w:t>Year 1: June 11 to March 12</w:t>
            </w:r>
          </w:p>
        </w:tc>
        <w:tc>
          <w:tcPr>
            <w:tcW w:w="1524" w:type="dxa"/>
            <w:tcBorders>
              <w:bottom w:val="single" w:sz="4" w:space="0" w:color="auto"/>
            </w:tcBorders>
          </w:tcPr>
          <w:p w:rsidR="004C63A6" w:rsidRPr="00E375AF" w:rsidRDefault="004C63A6" w:rsidP="002B78DB">
            <w:pPr>
              <w:jc w:val="right"/>
              <w:rPr>
                <w:b/>
                <w:szCs w:val="28"/>
              </w:rPr>
            </w:pPr>
            <w:r>
              <w:rPr>
                <w:b/>
                <w:szCs w:val="28"/>
              </w:rPr>
              <w:t>280</w:t>
            </w:r>
          </w:p>
        </w:tc>
        <w:tc>
          <w:tcPr>
            <w:tcW w:w="1478" w:type="dxa"/>
            <w:tcBorders>
              <w:bottom w:val="single" w:sz="4" w:space="0" w:color="auto"/>
            </w:tcBorders>
          </w:tcPr>
          <w:p w:rsidR="004C63A6" w:rsidRPr="004C63A6" w:rsidRDefault="004C63A6" w:rsidP="002B78DB">
            <w:pPr>
              <w:jc w:val="right"/>
              <w:rPr>
                <w:szCs w:val="28"/>
              </w:rPr>
            </w:pPr>
            <w:r>
              <w:rPr>
                <w:szCs w:val="28"/>
              </w:rPr>
              <w:t>687,130</w:t>
            </w:r>
          </w:p>
        </w:tc>
        <w:tc>
          <w:tcPr>
            <w:tcW w:w="2006" w:type="dxa"/>
            <w:tcBorders>
              <w:bottom w:val="single" w:sz="4" w:space="0" w:color="auto"/>
            </w:tcBorders>
          </w:tcPr>
          <w:p w:rsidR="004C63A6" w:rsidRPr="00E375AF" w:rsidRDefault="004C63A6" w:rsidP="002B78DB">
            <w:pPr>
              <w:jc w:val="right"/>
              <w:rPr>
                <w:b/>
                <w:szCs w:val="28"/>
              </w:rPr>
            </w:pPr>
            <w:r>
              <w:rPr>
                <w:b/>
                <w:szCs w:val="28"/>
              </w:rPr>
              <w:t>260</w:t>
            </w:r>
          </w:p>
        </w:tc>
        <w:tc>
          <w:tcPr>
            <w:tcW w:w="1851" w:type="dxa"/>
            <w:tcBorders>
              <w:bottom w:val="single" w:sz="4" w:space="0" w:color="auto"/>
            </w:tcBorders>
          </w:tcPr>
          <w:p w:rsidR="004C63A6" w:rsidRPr="004C63A6" w:rsidRDefault="004C63A6" w:rsidP="00E375AF">
            <w:pPr>
              <w:jc w:val="right"/>
              <w:rPr>
                <w:szCs w:val="28"/>
              </w:rPr>
            </w:pPr>
            <w:r>
              <w:rPr>
                <w:szCs w:val="28"/>
              </w:rPr>
              <w:t>644,690</w:t>
            </w:r>
          </w:p>
        </w:tc>
        <w:tc>
          <w:tcPr>
            <w:tcW w:w="1727" w:type="dxa"/>
            <w:tcBorders>
              <w:bottom w:val="single" w:sz="4" w:space="0" w:color="auto"/>
            </w:tcBorders>
          </w:tcPr>
          <w:p w:rsidR="004C63A6" w:rsidRPr="00E375AF" w:rsidRDefault="004C63A6" w:rsidP="00E375AF">
            <w:pPr>
              <w:jc w:val="right"/>
              <w:rPr>
                <w:b/>
                <w:szCs w:val="28"/>
              </w:rPr>
            </w:pPr>
            <w:r>
              <w:rPr>
                <w:b/>
                <w:szCs w:val="28"/>
              </w:rPr>
              <w:t>-</w:t>
            </w:r>
          </w:p>
        </w:tc>
        <w:tc>
          <w:tcPr>
            <w:tcW w:w="1508" w:type="dxa"/>
            <w:tcBorders>
              <w:bottom w:val="single" w:sz="4" w:space="0" w:color="auto"/>
            </w:tcBorders>
          </w:tcPr>
          <w:p w:rsidR="004C63A6" w:rsidRPr="004C63A6" w:rsidRDefault="004C63A6" w:rsidP="004C63A6">
            <w:pPr>
              <w:jc w:val="right"/>
              <w:rPr>
                <w:szCs w:val="28"/>
              </w:rPr>
            </w:pPr>
            <w:r>
              <w:rPr>
                <w:szCs w:val="28"/>
              </w:rPr>
              <w:t>9,090</w:t>
            </w:r>
          </w:p>
        </w:tc>
      </w:tr>
      <w:tr w:rsidR="004C63A6" w:rsidRPr="002B78DB" w:rsidTr="004C63A6">
        <w:tc>
          <w:tcPr>
            <w:tcW w:w="4080" w:type="dxa"/>
            <w:tcBorders>
              <w:bottom w:val="single" w:sz="4" w:space="0" w:color="auto"/>
            </w:tcBorders>
          </w:tcPr>
          <w:p w:rsidR="004C63A6" w:rsidRPr="00435C91" w:rsidRDefault="004C63A6" w:rsidP="007949E9">
            <w:r>
              <w:t>Year 2: April 12 to March 13</w:t>
            </w:r>
          </w:p>
        </w:tc>
        <w:tc>
          <w:tcPr>
            <w:tcW w:w="1524" w:type="dxa"/>
            <w:tcBorders>
              <w:bottom w:val="single" w:sz="4" w:space="0" w:color="auto"/>
            </w:tcBorders>
          </w:tcPr>
          <w:p w:rsidR="004C63A6" w:rsidRPr="00E375AF" w:rsidRDefault="004C63A6" w:rsidP="002B78DB">
            <w:pPr>
              <w:jc w:val="right"/>
              <w:rPr>
                <w:b/>
                <w:szCs w:val="28"/>
              </w:rPr>
            </w:pPr>
            <w:r>
              <w:rPr>
                <w:b/>
                <w:szCs w:val="28"/>
              </w:rPr>
              <w:t>390</w:t>
            </w:r>
          </w:p>
        </w:tc>
        <w:tc>
          <w:tcPr>
            <w:tcW w:w="1478" w:type="dxa"/>
            <w:tcBorders>
              <w:bottom w:val="single" w:sz="4" w:space="0" w:color="auto"/>
            </w:tcBorders>
          </w:tcPr>
          <w:p w:rsidR="004C63A6" w:rsidRPr="004C63A6" w:rsidRDefault="004C63A6" w:rsidP="002B78DB">
            <w:pPr>
              <w:jc w:val="right"/>
              <w:rPr>
                <w:szCs w:val="28"/>
              </w:rPr>
            </w:pPr>
            <w:r>
              <w:rPr>
                <w:szCs w:val="28"/>
              </w:rPr>
              <w:t>512,140</w:t>
            </w:r>
          </w:p>
        </w:tc>
        <w:tc>
          <w:tcPr>
            <w:tcW w:w="2006" w:type="dxa"/>
            <w:tcBorders>
              <w:bottom w:val="single" w:sz="4" w:space="0" w:color="auto"/>
            </w:tcBorders>
          </w:tcPr>
          <w:p w:rsidR="004C63A6" w:rsidRPr="00E375AF" w:rsidRDefault="004C63A6" w:rsidP="002B78DB">
            <w:pPr>
              <w:jc w:val="right"/>
              <w:rPr>
                <w:b/>
                <w:szCs w:val="28"/>
              </w:rPr>
            </w:pPr>
            <w:r>
              <w:rPr>
                <w:b/>
                <w:szCs w:val="28"/>
              </w:rPr>
              <w:t>380</w:t>
            </w:r>
          </w:p>
        </w:tc>
        <w:tc>
          <w:tcPr>
            <w:tcW w:w="1851" w:type="dxa"/>
            <w:tcBorders>
              <w:bottom w:val="single" w:sz="4" w:space="0" w:color="auto"/>
            </w:tcBorders>
          </w:tcPr>
          <w:p w:rsidR="004C63A6" w:rsidRPr="004C63A6" w:rsidRDefault="004C63A6" w:rsidP="00E375AF">
            <w:pPr>
              <w:jc w:val="right"/>
              <w:rPr>
                <w:szCs w:val="28"/>
              </w:rPr>
            </w:pPr>
            <w:r>
              <w:rPr>
                <w:szCs w:val="28"/>
              </w:rPr>
              <w:t>515,360</w:t>
            </w:r>
          </w:p>
        </w:tc>
        <w:tc>
          <w:tcPr>
            <w:tcW w:w="1727" w:type="dxa"/>
            <w:tcBorders>
              <w:bottom w:val="single" w:sz="4" w:space="0" w:color="auto"/>
            </w:tcBorders>
          </w:tcPr>
          <w:p w:rsidR="004C63A6" w:rsidRPr="00E375AF" w:rsidRDefault="004C63A6" w:rsidP="00E375AF">
            <w:pPr>
              <w:jc w:val="right"/>
              <w:rPr>
                <w:b/>
                <w:szCs w:val="28"/>
              </w:rPr>
            </w:pPr>
            <w:r>
              <w:rPr>
                <w:b/>
                <w:szCs w:val="28"/>
              </w:rPr>
              <w:t>20</w:t>
            </w:r>
          </w:p>
        </w:tc>
        <w:tc>
          <w:tcPr>
            <w:tcW w:w="1508" w:type="dxa"/>
            <w:tcBorders>
              <w:bottom w:val="single" w:sz="4" w:space="0" w:color="auto"/>
            </w:tcBorders>
          </w:tcPr>
          <w:p w:rsidR="004C63A6" w:rsidRPr="004C63A6" w:rsidRDefault="004C63A6" w:rsidP="004C63A6">
            <w:pPr>
              <w:jc w:val="right"/>
              <w:rPr>
                <w:szCs w:val="28"/>
              </w:rPr>
            </w:pPr>
            <w:r>
              <w:rPr>
                <w:szCs w:val="28"/>
              </w:rPr>
              <w:t>120,530</w:t>
            </w:r>
          </w:p>
        </w:tc>
      </w:tr>
      <w:tr w:rsidR="004C63A6" w:rsidRPr="002B78DB" w:rsidTr="004C63A6">
        <w:tc>
          <w:tcPr>
            <w:tcW w:w="4080" w:type="dxa"/>
          </w:tcPr>
          <w:p w:rsidR="004C63A6" w:rsidRPr="00435C91" w:rsidRDefault="004C63A6" w:rsidP="007949E9">
            <w:r>
              <w:t>Year 3: April 13 to March 14</w:t>
            </w:r>
          </w:p>
        </w:tc>
        <w:tc>
          <w:tcPr>
            <w:tcW w:w="1524" w:type="dxa"/>
          </w:tcPr>
          <w:p w:rsidR="004C63A6" w:rsidRPr="004C63A6" w:rsidRDefault="004C63A6" w:rsidP="002B78DB">
            <w:pPr>
              <w:jc w:val="right"/>
              <w:rPr>
                <w:b/>
                <w:szCs w:val="28"/>
              </w:rPr>
            </w:pPr>
            <w:r w:rsidRPr="004C63A6">
              <w:rPr>
                <w:b/>
                <w:szCs w:val="28"/>
              </w:rPr>
              <w:t>340</w:t>
            </w:r>
          </w:p>
        </w:tc>
        <w:tc>
          <w:tcPr>
            <w:tcW w:w="1478" w:type="dxa"/>
          </w:tcPr>
          <w:p w:rsidR="004C63A6" w:rsidRPr="004C63A6" w:rsidRDefault="004C63A6" w:rsidP="002B78DB">
            <w:pPr>
              <w:jc w:val="right"/>
              <w:rPr>
                <w:szCs w:val="28"/>
              </w:rPr>
            </w:pPr>
            <w:r>
              <w:rPr>
                <w:szCs w:val="28"/>
              </w:rPr>
              <w:t>347,940</w:t>
            </w:r>
          </w:p>
        </w:tc>
        <w:tc>
          <w:tcPr>
            <w:tcW w:w="2006" w:type="dxa"/>
          </w:tcPr>
          <w:p w:rsidR="004C63A6" w:rsidRPr="004C63A6" w:rsidRDefault="004C63A6" w:rsidP="002B78DB">
            <w:pPr>
              <w:jc w:val="right"/>
              <w:rPr>
                <w:b/>
                <w:szCs w:val="28"/>
              </w:rPr>
            </w:pPr>
            <w:r w:rsidRPr="004C63A6">
              <w:rPr>
                <w:b/>
                <w:szCs w:val="28"/>
              </w:rPr>
              <w:t>340</w:t>
            </w:r>
          </w:p>
        </w:tc>
        <w:tc>
          <w:tcPr>
            <w:tcW w:w="1851" w:type="dxa"/>
          </w:tcPr>
          <w:p w:rsidR="004C63A6" w:rsidRPr="004C63A6" w:rsidRDefault="004C63A6" w:rsidP="00E375AF">
            <w:pPr>
              <w:jc w:val="right"/>
              <w:rPr>
                <w:szCs w:val="28"/>
              </w:rPr>
            </w:pPr>
            <w:r>
              <w:rPr>
                <w:szCs w:val="28"/>
              </w:rPr>
              <w:t>351,700</w:t>
            </w:r>
          </w:p>
        </w:tc>
        <w:tc>
          <w:tcPr>
            <w:tcW w:w="1727" w:type="dxa"/>
          </w:tcPr>
          <w:p w:rsidR="004C63A6" w:rsidRPr="004C63A6" w:rsidRDefault="004C63A6" w:rsidP="00E375AF">
            <w:pPr>
              <w:jc w:val="right"/>
              <w:rPr>
                <w:b/>
                <w:szCs w:val="28"/>
              </w:rPr>
            </w:pPr>
            <w:r w:rsidRPr="004C63A6">
              <w:rPr>
                <w:b/>
                <w:szCs w:val="28"/>
              </w:rPr>
              <w:t>40</w:t>
            </w:r>
          </w:p>
        </w:tc>
        <w:tc>
          <w:tcPr>
            <w:tcW w:w="1508" w:type="dxa"/>
          </w:tcPr>
          <w:p w:rsidR="004C63A6" w:rsidRPr="004C63A6" w:rsidRDefault="004C63A6" w:rsidP="004C63A6">
            <w:pPr>
              <w:jc w:val="right"/>
              <w:rPr>
                <w:szCs w:val="28"/>
              </w:rPr>
            </w:pPr>
            <w:r>
              <w:rPr>
                <w:szCs w:val="28"/>
              </w:rPr>
              <w:t>164,500</w:t>
            </w:r>
          </w:p>
        </w:tc>
      </w:tr>
      <w:tr w:rsidR="00435C91" w:rsidRPr="002B78DB" w:rsidTr="004C63A6">
        <w:tc>
          <w:tcPr>
            <w:tcW w:w="4080" w:type="dxa"/>
          </w:tcPr>
          <w:p w:rsidR="00435C91" w:rsidRPr="00435C91" w:rsidRDefault="00435C91" w:rsidP="007949E9">
            <w:r>
              <w:t>Year 4: April 14 to March 15</w:t>
            </w:r>
          </w:p>
        </w:tc>
        <w:tc>
          <w:tcPr>
            <w:tcW w:w="1524" w:type="dxa"/>
          </w:tcPr>
          <w:p w:rsidR="00435C91" w:rsidRPr="004C63A6" w:rsidRDefault="004C63A6" w:rsidP="002B78DB">
            <w:pPr>
              <w:jc w:val="right"/>
              <w:rPr>
                <w:b/>
                <w:szCs w:val="28"/>
              </w:rPr>
            </w:pPr>
            <w:r w:rsidRPr="004C63A6">
              <w:rPr>
                <w:b/>
                <w:szCs w:val="28"/>
              </w:rPr>
              <w:t>130</w:t>
            </w:r>
          </w:p>
        </w:tc>
        <w:tc>
          <w:tcPr>
            <w:tcW w:w="1478" w:type="dxa"/>
          </w:tcPr>
          <w:p w:rsidR="00435C91" w:rsidRPr="004C63A6" w:rsidRDefault="004C63A6" w:rsidP="002B78DB">
            <w:pPr>
              <w:jc w:val="right"/>
              <w:rPr>
                <w:szCs w:val="28"/>
              </w:rPr>
            </w:pPr>
            <w:r>
              <w:rPr>
                <w:szCs w:val="28"/>
              </w:rPr>
              <w:t>180,540</w:t>
            </w:r>
          </w:p>
        </w:tc>
        <w:tc>
          <w:tcPr>
            <w:tcW w:w="2006" w:type="dxa"/>
          </w:tcPr>
          <w:p w:rsidR="00435C91" w:rsidRPr="004C63A6" w:rsidRDefault="004C63A6" w:rsidP="002B78DB">
            <w:pPr>
              <w:jc w:val="right"/>
              <w:rPr>
                <w:b/>
                <w:szCs w:val="28"/>
              </w:rPr>
            </w:pPr>
            <w:r w:rsidRPr="004C63A6">
              <w:rPr>
                <w:b/>
                <w:szCs w:val="28"/>
              </w:rPr>
              <w:t>140</w:t>
            </w:r>
          </w:p>
        </w:tc>
        <w:tc>
          <w:tcPr>
            <w:tcW w:w="1851" w:type="dxa"/>
          </w:tcPr>
          <w:p w:rsidR="00435C91" w:rsidRPr="004C63A6" w:rsidRDefault="004C63A6" w:rsidP="00E375AF">
            <w:pPr>
              <w:jc w:val="right"/>
              <w:rPr>
                <w:szCs w:val="28"/>
              </w:rPr>
            </w:pPr>
            <w:r>
              <w:rPr>
                <w:szCs w:val="28"/>
              </w:rPr>
              <w:t>182,180</w:t>
            </w:r>
          </w:p>
        </w:tc>
        <w:tc>
          <w:tcPr>
            <w:tcW w:w="1727" w:type="dxa"/>
          </w:tcPr>
          <w:p w:rsidR="00435C91" w:rsidRPr="004C63A6" w:rsidRDefault="004C63A6" w:rsidP="00E375AF">
            <w:pPr>
              <w:jc w:val="right"/>
              <w:rPr>
                <w:b/>
                <w:szCs w:val="28"/>
              </w:rPr>
            </w:pPr>
            <w:r w:rsidRPr="004C63A6">
              <w:rPr>
                <w:b/>
                <w:szCs w:val="28"/>
              </w:rPr>
              <w:t>30</w:t>
            </w:r>
          </w:p>
        </w:tc>
        <w:tc>
          <w:tcPr>
            <w:tcW w:w="1508" w:type="dxa"/>
          </w:tcPr>
          <w:p w:rsidR="00435C91" w:rsidRPr="004C63A6" w:rsidRDefault="004C63A6" w:rsidP="00E375AF">
            <w:pPr>
              <w:jc w:val="right"/>
              <w:rPr>
                <w:szCs w:val="28"/>
              </w:rPr>
            </w:pPr>
            <w:r>
              <w:rPr>
                <w:szCs w:val="28"/>
              </w:rPr>
              <w:t>138,490</w:t>
            </w:r>
          </w:p>
        </w:tc>
      </w:tr>
      <w:tr w:rsidR="00435C91" w:rsidRPr="002B78DB" w:rsidTr="004C63A6">
        <w:tc>
          <w:tcPr>
            <w:tcW w:w="4080" w:type="dxa"/>
          </w:tcPr>
          <w:p w:rsidR="00435C91" w:rsidRPr="00435C91" w:rsidRDefault="00435C91" w:rsidP="007949E9">
            <w:pPr>
              <w:rPr>
                <w:b/>
              </w:rPr>
            </w:pPr>
            <w:r>
              <w:rPr>
                <w:b/>
              </w:rPr>
              <w:t>Great Britain total</w:t>
            </w:r>
          </w:p>
        </w:tc>
        <w:tc>
          <w:tcPr>
            <w:tcW w:w="1524" w:type="dxa"/>
            <w:tcBorders>
              <w:bottom w:val="single" w:sz="4" w:space="0" w:color="auto"/>
            </w:tcBorders>
          </w:tcPr>
          <w:p w:rsidR="00435C91" w:rsidRPr="00435C91" w:rsidRDefault="00435C91" w:rsidP="002B78DB">
            <w:pPr>
              <w:jc w:val="right"/>
              <w:rPr>
                <w:b/>
                <w:szCs w:val="28"/>
              </w:rPr>
            </w:pPr>
            <w:r w:rsidRPr="00435C91">
              <w:rPr>
                <w:b/>
                <w:szCs w:val="28"/>
              </w:rPr>
              <w:t>1,140</w:t>
            </w:r>
          </w:p>
        </w:tc>
        <w:tc>
          <w:tcPr>
            <w:tcW w:w="1478" w:type="dxa"/>
            <w:tcBorders>
              <w:bottom w:val="single" w:sz="4" w:space="0" w:color="auto"/>
            </w:tcBorders>
          </w:tcPr>
          <w:p w:rsidR="00435C91" w:rsidRPr="004C63A6" w:rsidRDefault="004C63A6" w:rsidP="002B78DB">
            <w:pPr>
              <w:jc w:val="right"/>
              <w:rPr>
                <w:szCs w:val="28"/>
              </w:rPr>
            </w:pPr>
            <w:r w:rsidRPr="004C63A6">
              <w:rPr>
                <w:szCs w:val="28"/>
              </w:rPr>
              <w:t>1,727,740</w:t>
            </w:r>
          </w:p>
        </w:tc>
        <w:tc>
          <w:tcPr>
            <w:tcW w:w="2006" w:type="dxa"/>
            <w:tcBorders>
              <w:bottom w:val="single" w:sz="4" w:space="0" w:color="auto"/>
            </w:tcBorders>
          </w:tcPr>
          <w:p w:rsidR="00435C91" w:rsidRPr="00435C91" w:rsidRDefault="00435C91" w:rsidP="002B78DB">
            <w:pPr>
              <w:jc w:val="right"/>
              <w:rPr>
                <w:b/>
                <w:szCs w:val="28"/>
              </w:rPr>
            </w:pPr>
            <w:r>
              <w:rPr>
                <w:b/>
                <w:szCs w:val="28"/>
              </w:rPr>
              <w:t>1,120</w:t>
            </w:r>
          </w:p>
        </w:tc>
        <w:tc>
          <w:tcPr>
            <w:tcW w:w="1851" w:type="dxa"/>
          </w:tcPr>
          <w:p w:rsidR="00435C91" w:rsidRPr="004C63A6" w:rsidRDefault="004C63A6" w:rsidP="00E375AF">
            <w:pPr>
              <w:jc w:val="right"/>
              <w:rPr>
                <w:szCs w:val="28"/>
              </w:rPr>
            </w:pPr>
            <w:r>
              <w:rPr>
                <w:szCs w:val="28"/>
              </w:rPr>
              <w:t>1,693,930</w:t>
            </w:r>
          </w:p>
        </w:tc>
        <w:tc>
          <w:tcPr>
            <w:tcW w:w="1727" w:type="dxa"/>
          </w:tcPr>
          <w:p w:rsidR="00435C91" w:rsidRPr="00435C91" w:rsidRDefault="00435C91" w:rsidP="00E375AF">
            <w:pPr>
              <w:jc w:val="right"/>
              <w:rPr>
                <w:b/>
                <w:szCs w:val="28"/>
              </w:rPr>
            </w:pPr>
            <w:r>
              <w:rPr>
                <w:b/>
                <w:szCs w:val="28"/>
              </w:rPr>
              <w:t>90</w:t>
            </w:r>
          </w:p>
        </w:tc>
        <w:tc>
          <w:tcPr>
            <w:tcW w:w="1508" w:type="dxa"/>
          </w:tcPr>
          <w:p w:rsidR="00435C91" w:rsidRPr="004C63A6" w:rsidRDefault="004C63A6" w:rsidP="00E375AF">
            <w:pPr>
              <w:jc w:val="right"/>
              <w:rPr>
                <w:szCs w:val="28"/>
              </w:rPr>
            </w:pPr>
            <w:r>
              <w:rPr>
                <w:szCs w:val="28"/>
              </w:rPr>
              <w:t>432,610</w:t>
            </w:r>
          </w:p>
        </w:tc>
      </w:tr>
    </w:tbl>
    <w:p w:rsidR="00177BCC" w:rsidRPr="00DE2A5C" w:rsidRDefault="00177BCC" w:rsidP="00177BCC">
      <w:pPr>
        <w:rPr>
          <w:rFonts w:cs="Arial"/>
          <w:bCs/>
          <w:szCs w:val="28"/>
        </w:rPr>
      </w:pPr>
      <w:r w:rsidRPr="00177BCC">
        <w:rPr>
          <w:b/>
        </w:rPr>
        <w:t>Source of BPS data</w:t>
      </w:r>
      <w:r w:rsidRPr="00DE2A5C">
        <w:t xml:space="preserve">: DWP </w:t>
      </w:r>
      <w:r w:rsidR="00435C91">
        <w:t>Statistical Services</w:t>
      </w:r>
      <w:r w:rsidRPr="00DE2A5C">
        <w:rPr>
          <w:rFonts w:cs="Arial"/>
          <w:bCs/>
          <w:szCs w:val="28"/>
        </w:rPr>
        <w:t xml:space="preserve"> Freedom of Inform</w:t>
      </w:r>
      <w:r w:rsidR="00435C91">
        <w:rPr>
          <w:rFonts w:cs="Arial"/>
          <w:bCs/>
          <w:szCs w:val="28"/>
        </w:rPr>
        <w:t>ation response to RNIB ref: 2015-3286 dated 12 February 2016</w:t>
      </w:r>
      <w:r w:rsidRPr="00DE2A5C">
        <w:rPr>
          <w:rFonts w:cs="Arial"/>
          <w:bCs/>
          <w:szCs w:val="28"/>
        </w:rPr>
        <w:t xml:space="preserve"> </w:t>
      </w:r>
    </w:p>
    <w:p w:rsidR="00177BCC" w:rsidRPr="00DE2A5C" w:rsidRDefault="00177BCC" w:rsidP="00177BCC">
      <w:r w:rsidRPr="00177BCC">
        <w:rPr>
          <w:b/>
        </w:rPr>
        <w:t>Source of data for all claimants</w:t>
      </w:r>
      <w:r w:rsidR="00435C91">
        <w:t>: Supplementary Table 1.1, DWP (2015) Work Programme Statistical Summary dated 18 June 2015</w:t>
      </w:r>
      <w:r w:rsidRPr="00DE2A5C">
        <w:t>.</w:t>
      </w:r>
    </w:p>
    <w:p w:rsidR="00D548D5" w:rsidRDefault="00177BCC" w:rsidP="00D548D5">
      <w:r w:rsidRPr="00177BCC">
        <w:rPr>
          <w:b/>
        </w:rPr>
        <w:t>Note</w:t>
      </w:r>
      <w:r w:rsidR="00D548D5">
        <w:rPr>
          <w:b/>
        </w:rPr>
        <w:t>s</w:t>
      </w:r>
      <w:r w:rsidRPr="00177BCC">
        <w:rPr>
          <w:b/>
        </w:rPr>
        <w:t>:</w:t>
      </w:r>
      <w:r w:rsidRPr="00DE2A5C">
        <w:t xml:space="preserve"> ' - ' denotes nil or negligible (less than10)</w:t>
      </w:r>
      <w:r w:rsidR="00D548D5">
        <w:t>; figures are rounded to the nearest 10; tables may not sum due to rounding.</w:t>
      </w:r>
    </w:p>
    <w:p w:rsidR="00177BCC" w:rsidRDefault="00177BCC" w:rsidP="00177BCC"/>
    <w:p w:rsidR="004C63A6" w:rsidRDefault="004C63A6" w:rsidP="004C63A6">
      <w:pPr>
        <w:pStyle w:val="Heading3"/>
      </w:pPr>
      <w:r>
        <w:br w:type="page"/>
      </w:r>
      <w:r>
        <w:lastRenderedPageBreak/>
        <w:t xml:space="preserve">Table 2: </w:t>
      </w:r>
      <w:r w:rsidR="002276D9">
        <w:t xml:space="preserve">Proportion of all Participants </w:t>
      </w:r>
      <w:r w:rsidR="002276D9" w:rsidRPr="00E375AF">
        <w:t>with non-acute Diseases of the Eye and Adnexa</w:t>
      </w:r>
      <w:r w:rsidR="002276D9">
        <w:t xml:space="preserve"> who had spent sufficient time on the programme to do so that achieved a Job Outcome payment: June 2011 to March 2015 (Great Britain)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835"/>
        <w:gridCol w:w="2835"/>
        <w:gridCol w:w="2835"/>
        <w:gridCol w:w="2835"/>
      </w:tblGrid>
      <w:tr w:rsidR="002276D9" w:rsidTr="00B426BF">
        <w:tc>
          <w:tcPr>
            <w:tcW w:w="2834" w:type="dxa"/>
          </w:tcPr>
          <w:p w:rsidR="002276D9" w:rsidRDefault="002276D9" w:rsidP="002276D9">
            <w:r>
              <w:t>Participant type</w:t>
            </w:r>
          </w:p>
        </w:tc>
        <w:tc>
          <w:tcPr>
            <w:tcW w:w="2835" w:type="dxa"/>
          </w:tcPr>
          <w:p w:rsidR="002276D9" w:rsidRDefault="002276D9" w:rsidP="002276D9">
            <w:r>
              <w:t>Referrals</w:t>
            </w:r>
          </w:p>
        </w:tc>
        <w:tc>
          <w:tcPr>
            <w:tcW w:w="2835" w:type="dxa"/>
          </w:tcPr>
          <w:p w:rsidR="002276D9" w:rsidRDefault="002276D9" w:rsidP="002276D9">
            <w:r>
              <w:t>Referrals able to attain a Job Outcome payment</w:t>
            </w:r>
          </w:p>
        </w:tc>
        <w:tc>
          <w:tcPr>
            <w:tcW w:w="2835" w:type="dxa"/>
          </w:tcPr>
          <w:p w:rsidR="002276D9" w:rsidRDefault="002276D9" w:rsidP="002276D9">
            <w:r>
              <w:t>Referrals achieving a Job Outcome payment</w:t>
            </w:r>
          </w:p>
        </w:tc>
        <w:tc>
          <w:tcPr>
            <w:tcW w:w="2835" w:type="dxa"/>
          </w:tcPr>
          <w:p w:rsidR="002276D9" w:rsidRDefault="002276D9" w:rsidP="002276D9">
            <w:r>
              <w:t>Percentage of the Referrals that could achieve a Job Outcome payment that did so</w:t>
            </w:r>
          </w:p>
        </w:tc>
      </w:tr>
      <w:tr w:rsidR="002276D9" w:rsidTr="00B426BF">
        <w:tc>
          <w:tcPr>
            <w:tcW w:w="2834" w:type="dxa"/>
          </w:tcPr>
          <w:p w:rsidR="002276D9" w:rsidRPr="00B426BF" w:rsidRDefault="002276D9" w:rsidP="002276D9">
            <w:pPr>
              <w:rPr>
                <w:b/>
              </w:rPr>
            </w:pPr>
            <w:r w:rsidRPr="00B426BF">
              <w:rPr>
                <w:b/>
              </w:rPr>
              <w:t>BPS participants</w:t>
            </w:r>
          </w:p>
        </w:tc>
        <w:tc>
          <w:tcPr>
            <w:tcW w:w="2835" w:type="dxa"/>
          </w:tcPr>
          <w:p w:rsidR="002276D9" w:rsidRPr="00B426BF" w:rsidRDefault="002276D9" w:rsidP="00B426BF">
            <w:pPr>
              <w:jc w:val="right"/>
              <w:rPr>
                <w:b/>
              </w:rPr>
            </w:pPr>
            <w:r w:rsidRPr="00B426BF">
              <w:rPr>
                <w:b/>
              </w:rPr>
              <w:t>1,140</w:t>
            </w:r>
          </w:p>
        </w:tc>
        <w:tc>
          <w:tcPr>
            <w:tcW w:w="2835" w:type="dxa"/>
          </w:tcPr>
          <w:p w:rsidR="002276D9" w:rsidRPr="00B426BF" w:rsidRDefault="002276D9" w:rsidP="00B426BF">
            <w:pPr>
              <w:jc w:val="right"/>
              <w:rPr>
                <w:b/>
              </w:rPr>
            </w:pPr>
            <w:r w:rsidRPr="00B426BF">
              <w:rPr>
                <w:b/>
              </w:rPr>
              <w:t>1,110</w:t>
            </w:r>
          </w:p>
        </w:tc>
        <w:tc>
          <w:tcPr>
            <w:tcW w:w="2835" w:type="dxa"/>
          </w:tcPr>
          <w:p w:rsidR="002276D9" w:rsidRPr="00B426BF" w:rsidRDefault="002276D9" w:rsidP="00B426BF">
            <w:pPr>
              <w:jc w:val="right"/>
              <w:rPr>
                <w:b/>
              </w:rPr>
            </w:pPr>
            <w:r w:rsidRPr="00B426BF">
              <w:rPr>
                <w:b/>
              </w:rPr>
              <w:t>90</w:t>
            </w:r>
          </w:p>
        </w:tc>
        <w:tc>
          <w:tcPr>
            <w:tcW w:w="2835" w:type="dxa"/>
          </w:tcPr>
          <w:p w:rsidR="002276D9" w:rsidRPr="00B426BF" w:rsidRDefault="002276D9" w:rsidP="00B426BF">
            <w:pPr>
              <w:jc w:val="right"/>
              <w:rPr>
                <w:b/>
              </w:rPr>
            </w:pPr>
            <w:r w:rsidRPr="00B426BF">
              <w:rPr>
                <w:b/>
              </w:rPr>
              <w:t>8.1%</w:t>
            </w:r>
          </w:p>
        </w:tc>
      </w:tr>
      <w:tr w:rsidR="002276D9" w:rsidTr="00B426BF">
        <w:tc>
          <w:tcPr>
            <w:tcW w:w="2834" w:type="dxa"/>
          </w:tcPr>
          <w:p w:rsidR="002276D9" w:rsidRDefault="002276D9" w:rsidP="002276D9">
            <w:r>
              <w:t>All participants</w:t>
            </w:r>
          </w:p>
        </w:tc>
        <w:tc>
          <w:tcPr>
            <w:tcW w:w="2835" w:type="dxa"/>
          </w:tcPr>
          <w:p w:rsidR="002276D9" w:rsidRDefault="002276D9" w:rsidP="00B426BF">
            <w:pPr>
              <w:jc w:val="right"/>
            </w:pPr>
            <w:r>
              <w:t>1,727,740</w:t>
            </w:r>
          </w:p>
        </w:tc>
        <w:tc>
          <w:tcPr>
            <w:tcW w:w="2835" w:type="dxa"/>
          </w:tcPr>
          <w:p w:rsidR="002276D9" w:rsidRDefault="002276D9" w:rsidP="00B426BF">
            <w:pPr>
              <w:jc w:val="right"/>
            </w:pPr>
            <w:r>
              <w:t>1,668,170</w:t>
            </w:r>
          </w:p>
        </w:tc>
        <w:tc>
          <w:tcPr>
            <w:tcW w:w="2835" w:type="dxa"/>
          </w:tcPr>
          <w:p w:rsidR="002276D9" w:rsidRDefault="002276D9" w:rsidP="00B426BF">
            <w:pPr>
              <w:jc w:val="right"/>
            </w:pPr>
            <w:r>
              <w:t>432,610</w:t>
            </w:r>
          </w:p>
        </w:tc>
        <w:tc>
          <w:tcPr>
            <w:tcW w:w="2835" w:type="dxa"/>
          </w:tcPr>
          <w:p w:rsidR="002276D9" w:rsidRDefault="002276D9" w:rsidP="00B426BF">
            <w:pPr>
              <w:jc w:val="right"/>
            </w:pPr>
            <w:r>
              <w:t>25.9%</w:t>
            </w:r>
          </w:p>
        </w:tc>
      </w:tr>
    </w:tbl>
    <w:p w:rsidR="002276D9" w:rsidRPr="00DE2A5C" w:rsidRDefault="002276D9" w:rsidP="002276D9">
      <w:pPr>
        <w:rPr>
          <w:rFonts w:cs="Arial"/>
          <w:bCs/>
          <w:szCs w:val="28"/>
        </w:rPr>
      </w:pPr>
      <w:r w:rsidRPr="00177BCC">
        <w:rPr>
          <w:b/>
        </w:rPr>
        <w:t>Source of BPS data</w:t>
      </w:r>
      <w:r w:rsidRPr="00DE2A5C">
        <w:t xml:space="preserve">: DWP </w:t>
      </w:r>
      <w:r>
        <w:t>Statistical Services</w:t>
      </w:r>
      <w:r w:rsidRPr="00DE2A5C">
        <w:rPr>
          <w:rFonts w:cs="Arial"/>
          <w:bCs/>
          <w:szCs w:val="28"/>
        </w:rPr>
        <w:t xml:space="preserve"> Freedom of Inform</w:t>
      </w:r>
      <w:r>
        <w:rPr>
          <w:rFonts w:cs="Arial"/>
          <w:bCs/>
          <w:szCs w:val="28"/>
        </w:rPr>
        <w:t>ation response to RNIB ref: 2015-3286 dated 12 February 2016</w:t>
      </w:r>
      <w:r w:rsidRPr="00DE2A5C">
        <w:rPr>
          <w:rFonts w:cs="Arial"/>
          <w:bCs/>
          <w:szCs w:val="28"/>
        </w:rPr>
        <w:t xml:space="preserve"> </w:t>
      </w:r>
    </w:p>
    <w:p w:rsidR="002276D9" w:rsidRPr="00DE2A5C" w:rsidRDefault="002276D9" w:rsidP="002276D9">
      <w:r w:rsidRPr="00177BCC">
        <w:rPr>
          <w:b/>
        </w:rPr>
        <w:t>Source of data for all claimants</w:t>
      </w:r>
      <w:r>
        <w:t>: Supplementary Table 1.4, DWP (2015) Work Programme Statistical Summary dated 18 June 2015</w:t>
      </w:r>
      <w:r w:rsidRPr="00DE2A5C">
        <w:t>.</w:t>
      </w:r>
    </w:p>
    <w:p w:rsidR="00C478C6" w:rsidRDefault="002276D9" w:rsidP="00C478C6">
      <w:r w:rsidRPr="00177BCC">
        <w:rPr>
          <w:b/>
        </w:rPr>
        <w:t>Note</w:t>
      </w:r>
      <w:r w:rsidR="00D548D5">
        <w:rPr>
          <w:b/>
        </w:rPr>
        <w:t>s</w:t>
      </w:r>
      <w:r w:rsidRPr="00177BCC">
        <w:rPr>
          <w:b/>
        </w:rPr>
        <w:t>:</w:t>
      </w:r>
      <w:r w:rsidRPr="00DE2A5C">
        <w:t xml:space="preserve"> ' - ' denotes nil or negligible (less than10)</w:t>
      </w:r>
      <w:r w:rsidR="00D548D5">
        <w:t>;</w:t>
      </w:r>
      <w:r w:rsidR="00C478C6" w:rsidRPr="00C478C6">
        <w:t xml:space="preserve"> </w:t>
      </w:r>
      <w:r w:rsidR="00C478C6">
        <w:t>figures are rounded to the nearest 10; tables may not sum due to rounding.</w:t>
      </w:r>
    </w:p>
    <w:p w:rsidR="002276D9" w:rsidRDefault="002276D9" w:rsidP="002276D9"/>
    <w:p w:rsidR="002276D9" w:rsidRDefault="002276D9" w:rsidP="002276D9">
      <w:pPr>
        <w:pStyle w:val="Heading3"/>
      </w:pPr>
      <w:r>
        <w:br w:type="page"/>
      </w:r>
      <w:r>
        <w:lastRenderedPageBreak/>
        <w:t xml:space="preserve">Table 3: Proportion of all Participants </w:t>
      </w:r>
      <w:r w:rsidRPr="00E375AF">
        <w:t>with non-acute Diseases of the Eye and Adnexa</w:t>
      </w:r>
      <w:r>
        <w:t xml:space="preserve"> who had spent sufficient time on the programme to do so that achieved a Job Outcome payment – by country: June 2011 to March 2015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835"/>
        <w:gridCol w:w="2835"/>
        <w:gridCol w:w="2835"/>
        <w:gridCol w:w="2835"/>
      </w:tblGrid>
      <w:tr w:rsidR="002276D9" w:rsidTr="00B426BF">
        <w:tc>
          <w:tcPr>
            <w:tcW w:w="2834" w:type="dxa"/>
          </w:tcPr>
          <w:p w:rsidR="002276D9" w:rsidRDefault="002276D9" w:rsidP="00C478C6">
            <w:r>
              <w:t>Country</w:t>
            </w:r>
          </w:p>
        </w:tc>
        <w:tc>
          <w:tcPr>
            <w:tcW w:w="2835" w:type="dxa"/>
          </w:tcPr>
          <w:p w:rsidR="002276D9" w:rsidRDefault="002276D9" w:rsidP="00C478C6">
            <w:r>
              <w:t>Referrals</w:t>
            </w:r>
          </w:p>
        </w:tc>
        <w:tc>
          <w:tcPr>
            <w:tcW w:w="2835" w:type="dxa"/>
          </w:tcPr>
          <w:p w:rsidR="002276D9" w:rsidRDefault="002276D9" w:rsidP="00C478C6">
            <w:r>
              <w:t>Referrals able to attain a Job Outcome payment</w:t>
            </w:r>
          </w:p>
        </w:tc>
        <w:tc>
          <w:tcPr>
            <w:tcW w:w="2835" w:type="dxa"/>
          </w:tcPr>
          <w:p w:rsidR="002276D9" w:rsidRDefault="002276D9" w:rsidP="00C478C6">
            <w:r>
              <w:t>Referrals achieving a Job Outcome payment</w:t>
            </w:r>
          </w:p>
        </w:tc>
        <w:tc>
          <w:tcPr>
            <w:tcW w:w="2835" w:type="dxa"/>
          </w:tcPr>
          <w:p w:rsidR="002276D9" w:rsidRDefault="002276D9" w:rsidP="00C478C6">
            <w:r>
              <w:t>Percentage of the Referrals that could achieve a Job Outcome payment that did so</w:t>
            </w:r>
          </w:p>
        </w:tc>
      </w:tr>
      <w:tr w:rsidR="002276D9" w:rsidTr="00B426BF">
        <w:tc>
          <w:tcPr>
            <w:tcW w:w="2834" w:type="dxa"/>
          </w:tcPr>
          <w:p w:rsidR="002276D9" w:rsidRPr="00B426BF" w:rsidRDefault="002276D9" w:rsidP="00C478C6">
            <w:pPr>
              <w:rPr>
                <w:b/>
              </w:rPr>
            </w:pPr>
            <w:r w:rsidRPr="00B426BF">
              <w:rPr>
                <w:b/>
              </w:rPr>
              <w:t>Great Britain</w:t>
            </w:r>
          </w:p>
        </w:tc>
        <w:tc>
          <w:tcPr>
            <w:tcW w:w="2835" w:type="dxa"/>
          </w:tcPr>
          <w:p w:rsidR="002276D9" w:rsidRPr="00B426BF" w:rsidRDefault="002276D9" w:rsidP="00B426BF">
            <w:pPr>
              <w:jc w:val="right"/>
              <w:rPr>
                <w:b/>
              </w:rPr>
            </w:pPr>
            <w:r w:rsidRPr="00B426BF">
              <w:rPr>
                <w:b/>
              </w:rPr>
              <w:t>1,140</w:t>
            </w:r>
          </w:p>
        </w:tc>
        <w:tc>
          <w:tcPr>
            <w:tcW w:w="2835" w:type="dxa"/>
          </w:tcPr>
          <w:p w:rsidR="002276D9" w:rsidRPr="00B426BF" w:rsidRDefault="002276D9" w:rsidP="00B426BF">
            <w:pPr>
              <w:jc w:val="right"/>
              <w:rPr>
                <w:b/>
              </w:rPr>
            </w:pPr>
            <w:r w:rsidRPr="00B426BF">
              <w:rPr>
                <w:b/>
              </w:rPr>
              <w:t>1,110</w:t>
            </w:r>
          </w:p>
        </w:tc>
        <w:tc>
          <w:tcPr>
            <w:tcW w:w="2835" w:type="dxa"/>
          </w:tcPr>
          <w:p w:rsidR="002276D9" w:rsidRPr="00B426BF" w:rsidRDefault="002276D9" w:rsidP="00B426BF">
            <w:pPr>
              <w:jc w:val="right"/>
              <w:rPr>
                <w:b/>
              </w:rPr>
            </w:pPr>
            <w:r w:rsidRPr="00B426BF">
              <w:rPr>
                <w:b/>
              </w:rPr>
              <w:t>90</w:t>
            </w:r>
          </w:p>
        </w:tc>
        <w:tc>
          <w:tcPr>
            <w:tcW w:w="2835" w:type="dxa"/>
          </w:tcPr>
          <w:p w:rsidR="002276D9" w:rsidRPr="00B426BF" w:rsidRDefault="002276D9" w:rsidP="00B426BF">
            <w:pPr>
              <w:jc w:val="right"/>
              <w:rPr>
                <w:b/>
              </w:rPr>
            </w:pPr>
            <w:r w:rsidRPr="00B426BF">
              <w:rPr>
                <w:b/>
              </w:rPr>
              <w:t>8.1%</w:t>
            </w:r>
          </w:p>
        </w:tc>
      </w:tr>
      <w:tr w:rsidR="002276D9" w:rsidTr="00B426BF">
        <w:tc>
          <w:tcPr>
            <w:tcW w:w="2834" w:type="dxa"/>
          </w:tcPr>
          <w:p w:rsidR="002276D9" w:rsidRDefault="002276D9" w:rsidP="00C478C6">
            <w:r>
              <w:t>England</w:t>
            </w:r>
          </w:p>
        </w:tc>
        <w:tc>
          <w:tcPr>
            <w:tcW w:w="2835" w:type="dxa"/>
          </w:tcPr>
          <w:p w:rsidR="002276D9" w:rsidRDefault="002276D9" w:rsidP="00B426BF">
            <w:pPr>
              <w:jc w:val="right"/>
            </w:pPr>
            <w:r>
              <w:t>1,000</w:t>
            </w:r>
          </w:p>
        </w:tc>
        <w:tc>
          <w:tcPr>
            <w:tcW w:w="2835" w:type="dxa"/>
          </w:tcPr>
          <w:p w:rsidR="002276D9" w:rsidRDefault="002276D9" w:rsidP="00B426BF">
            <w:pPr>
              <w:jc w:val="right"/>
            </w:pPr>
            <w:r>
              <w:t>960</w:t>
            </w:r>
          </w:p>
        </w:tc>
        <w:tc>
          <w:tcPr>
            <w:tcW w:w="2835" w:type="dxa"/>
          </w:tcPr>
          <w:p w:rsidR="002276D9" w:rsidRDefault="002276D9" w:rsidP="00B426BF">
            <w:pPr>
              <w:jc w:val="right"/>
            </w:pPr>
            <w:r>
              <w:t>80</w:t>
            </w:r>
          </w:p>
        </w:tc>
        <w:tc>
          <w:tcPr>
            <w:tcW w:w="2835" w:type="dxa"/>
          </w:tcPr>
          <w:p w:rsidR="002276D9" w:rsidRDefault="002276D9" w:rsidP="00B426BF">
            <w:pPr>
              <w:jc w:val="right"/>
            </w:pPr>
            <w:r>
              <w:t>8.2%</w:t>
            </w:r>
          </w:p>
        </w:tc>
      </w:tr>
      <w:tr w:rsidR="002276D9" w:rsidTr="00B426BF">
        <w:tc>
          <w:tcPr>
            <w:tcW w:w="2834" w:type="dxa"/>
          </w:tcPr>
          <w:p w:rsidR="002276D9" w:rsidRDefault="002276D9" w:rsidP="00C478C6">
            <w:r>
              <w:t>Wales</w:t>
            </w:r>
          </w:p>
        </w:tc>
        <w:tc>
          <w:tcPr>
            <w:tcW w:w="2835" w:type="dxa"/>
          </w:tcPr>
          <w:p w:rsidR="002276D9" w:rsidRDefault="002276D9" w:rsidP="00B426BF">
            <w:pPr>
              <w:jc w:val="right"/>
            </w:pPr>
            <w:r>
              <w:t>60</w:t>
            </w:r>
          </w:p>
        </w:tc>
        <w:tc>
          <w:tcPr>
            <w:tcW w:w="2835" w:type="dxa"/>
          </w:tcPr>
          <w:p w:rsidR="002276D9" w:rsidRDefault="002276D9" w:rsidP="00B426BF">
            <w:pPr>
              <w:jc w:val="right"/>
            </w:pPr>
            <w:r>
              <w:t>60</w:t>
            </w:r>
          </w:p>
        </w:tc>
        <w:tc>
          <w:tcPr>
            <w:tcW w:w="2835" w:type="dxa"/>
          </w:tcPr>
          <w:p w:rsidR="002276D9" w:rsidRDefault="002276D9" w:rsidP="00B426BF">
            <w:pPr>
              <w:jc w:val="right"/>
            </w:pPr>
            <w:r>
              <w:t>10</w:t>
            </w:r>
          </w:p>
        </w:tc>
        <w:tc>
          <w:tcPr>
            <w:tcW w:w="2835" w:type="dxa"/>
          </w:tcPr>
          <w:p w:rsidR="002276D9" w:rsidRDefault="002276D9" w:rsidP="00B426BF">
            <w:pPr>
              <w:jc w:val="right"/>
            </w:pPr>
            <w:r>
              <w:t>9.9%</w:t>
            </w:r>
          </w:p>
        </w:tc>
      </w:tr>
      <w:tr w:rsidR="002276D9" w:rsidTr="00B426BF">
        <w:tc>
          <w:tcPr>
            <w:tcW w:w="2834" w:type="dxa"/>
          </w:tcPr>
          <w:p w:rsidR="002276D9" w:rsidRDefault="002276D9" w:rsidP="00C478C6">
            <w:r>
              <w:t>Scotland</w:t>
            </w:r>
          </w:p>
        </w:tc>
        <w:tc>
          <w:tcPr>
            <w:tcW w:w="2835" w:type="dxa"/>
          </w:tcPr>
          <w:p w:rsidR="002276D9" w:rsidRDefault="002276D9" w:rsidP="00B426BF">
            <w:pPr>
              <w:jc w:val="right"/>
            </w:pPr>
            <w:r>
              <w:t>90</w:t>
            </w:r>
          </w:p>
        </w:tc>
        <w:tc>
          <w:tcPr>
            <w:tcW w:w="2835" w:type="dxa"/>
          </w:tcPr>
          <w:p w:rsidR="002276D9" w:rsidRDefault="002276D9" w:rsidP="00B426BF">
            <w:pPr>
              <w:jc w:val="right"/>
            </w:pPr>
            <w:r>
              <w:t>80</w:t>
            </w:r>
          </w:p>
        </w:tc>
        <w:tc>
          <w:tcPr>
            <w:tcW w:w="2835" w:type="dxa"/>
          </w:tcPr>
          <w:p w:rsidR="002276D9" w:rsidRDefault="002276D9" w:rsidP="00B426BF">
            <w:pPr>
              <w:jc w:val="right"/>
            </w:pPr>
            <w:r>
              <w:t>10</w:t>
            </w:r>
          </w:p>
        </w:tc>
        <w:tc>
          <w:tcPr>
            <w:tcW w:w="2835" w:type="dxa"/>
          </w:tcPr>
          <w:p w:rsidR="002276D9" w:rsidRDefault="002276D9" w:rsidP="00B426BF">
            <w:pPr>
              <w:jc w:val="right"/>
            </w:pPr>
            <w:r>
              <w:t>5.9%</w:t>
            </w:r>
          </w:p>
        </w:tc>
      </w:tr>
      <w:tr w:rsidR="002276D9" w:rsidTr="00B426BF">
        <w:tc>
          <w:tcPr>
            <w:tcW w:w="2834" w:type="dxa"/>
          </w:tcPr>
          <w:p w:rsidR="002276D9" w:rsidRDefault="002276D9" w:rsidP="00C478C6">
            <w:r>
              <w:t>Unknown</w:t>
            </w:r>
          </w:p>
        </w:tc>
        <w:tc>
          <w:tcPr>
            <w:tcW w:w="2835" w:type="dxa"/>
          </w:tcPr>
          <w:p w:rsidR="002276D9" w:rsidRDefault="002276D9" w:rsidP="00B426BF">
            <w:pPr>
              <w:jc w:val="right"/>
            </w:pPr>
            <w:r>
              <w:t>-</w:t>
            </w:r>
          </w:p>
        </w:tc>
        <w:tc>
          <w:tcPr>
            <w:tcW w:w="2835" w:type="dxa"/>
          </w:tcPr>
          <w:p w:rsidR="002276D9" w:rsidRDefault="002276D9" w:rsidP="00B426BF">
            <w:pPr>
              <w:jc w:val="right"/>
            </w:pPr>
            <w:r>
              <w:t>-</w:t>
            </w:r>
          </w:p>
        </w:tc>
        <w:tc>
          <w:tcPr>
            <w:tcW w:w="2835" w:type="dxa"/>
          </w:tcPr>
          <w:p w:rsidR="002276D9" w:rsidRDefault="002276D9" w:rsidP="00B426BF">
            <w:pPr>
              <w:jc w:val="right"/>
            </w:pPr>
            <w:r>
              <w:t>-</w:t>
            </w:r>
          </w:p>
        </w:tc>
        <w:tc>
          <w:tcPr>
            <w:tcW w:w="2835" w:type="dxa"/>
          </w:tcPr>
          <w:p w:rsidR="002276D9" w:rsidRDefault="002276D9" w:rsidP="00B426BF">
            <w:pPr>
              <w:jc w:val="right"/>
            </w:pPr>
            <w:r>
              <w:t>-</w:t>
            </w:r>
          </w:p>
        </w:tc>
      </w:tr>
    </w:tbl>
    <w:p w:rsidR="002276D9" w:rsidRPr="00DE2A5C" w:rsidRDefault="002276D9" w:rsidP="002276D9">
      <w:pPr>
        <w:rPr>
          <w:rFonts w:cs="Arial"/>
          <w:bCs/>
          <w:szCs w:val="28"/>
        </w:rPr>
      </w:pPr>
      <w:r w:rsidRPr="00177BCC">
        <w:rPr>
          <w:b/>
        </w:rPr>
        <w:t>Source of BPS data</w:t>
      </w:r>
      <w:r w:rsidRPr="00DE2A5C">
        <w:t xml:space="preserve">: DWP </w:t>
      </w:r>
      <w:r>
        <w:t>Statistical Services</w:t>
      </w:r>
      <w:r w:rsidRPr="00DE2A5C">
        <w:rPr>
          <w:rFonts w:cs="Arial"/>
          <w:bCs/>
          <w:szCs w:val="28"/>
        </w:rPr>
        <w:t xml:space="preserve"> Freedom of Inform</w:t>
      </w:r>
      <w:r>
        <w:rPr>
          <w:rFonts w:cs="Arial"/>
          <w:bCs/>
          <w:szCs w:val="28"/>
        </w:rPr>
        <w:t>ation response to RNIB ref: 2015-3286 dated 12 February 2016</w:t>
      </w:r>
      <w:r w:rsidRPr="00DE2A5C">
        <w:rPr>
          <w:rFonts w:cs="Arial"/>
          <w:bCs/>
          <w:szCs w:val="28"/>
        </w:rPr>
        <w:t xml:space="preserve"> </w:t>
      </w:r>
    </w:p>
    <w:p w:rsidR="002276D9" w:rsidRDefault="002276D9" w:rsidP="002276D9">
      <w:r w:rsidRPr="00177BCC">
        <w:rPr>
          <w:b/>
        </w:rPr>
        <w:t>Note</w:t>
      </w:r>
      <w:r w:rsidR="00C478C6">
        <w:rPr>
          <w:b/>
        </w:rPr>
        <w:t>s</w:t>
      </w:r>
      <w:r w:rsidRPr="00177BCC">
        <w:rPr>
          <w:b/>
        </w:rPr>
        <w:t>:</w:t>
      </w:r>
      <w:r w:rsidRPr="00DE2A5C">
        <w:t xml:space="preserve"> ' - ' denotes nil or negligible (less than10)</w:t>
      </w:r>
      <w:r w:rsidR="00C478C6">
        <w:t>; figures are rounded to the nearest 10; tables may not sum due to rounding.</w:t>
      </w:r>
    </w:p>
    <w:p w:rsidR="00D548D5" w:rsidRDefault="00D548D5" w:rsidP="00D548D5">
      <w:pPr>
        <w:pStyle w:val="Heading3"/>
      </w:pPr>
      <w:r>
        <w:br w:type="page"/>
      </w:r>
      <w:r>
        <w:lastRenderedPageBreak/>
        <w:t xml:space="preserve">Table 4: The status of all Work Programme Referrals for people </w:t>
      </w:r>
      <w:r w:rsidRPr="00E375AF">
        <w:t>with non-acute Diseases of the Eye and Adnexa</w:t>
      </w:r>
      <w:r>
        <w:t>: June 2011 to March 2015 (Great Britain)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2268"/>
        <w:gridCol w:w="2127"/>
        <w:gridCol w:w="2300"/>
      </w:tblGrid>
      <w:tr w:rsidR="00D548D5" w:rsidTr="00B426BF">
        <w:tc>
          <w:tcPr>
            <w:tcW w:w="5353" w:type="dxa"/>
          </w:tcPr>
          <w:p w:rsidR="00D548D5" w:rsidRDefault="00D548D5" w:rsidP="00D548D5"/>
        </w:tc>
        <w:tc>
          <w:tcPr>
            <w:tcW w:w="2126" w:type="dxa"/>
          </w:tcPr>
          <w:p w:rsidR="00D548D5" w:rsidRPr="00B426BF" w:rsidRDefault="00D548D5" w:rsidP="00D548D5">
            <w:pPr>
              <w:rPr>
                <w:b/>
              </w:rPr>
            </w:pPr>
            <w:r w:rsidRPr="00B426BF">
              <w:rPr>
                <w:b/>
              </w:rPr>
              <w:t>Referrals: BPS people</w:t>
            </w:r>
          </w:p>
        </w:tc>
        <w:tc>
          <w:tcPr>
            <w:tcW w:w="2268" w:type="dxa"/>
          </w:tcPr>
          <w:p w:rsidR="00D548D5" w:rsidRDefault="00D548D5" w:rsidP="00D548D5">
            <w:r>
              <w:t>Referrals: All people</w:t>
            </w:r>
          </w:p>
        </w:tc>
        <w:tc>
          <w:tcPr>
            <w:tcW w:w="2127" w:type="dxa"/>
          </w:tcPr>
          <w:p w:rsidR="00D548D5" w:rsidRPr="00B426BF" w:rsidRDefault="00D548D5" w:rsidP="00D548D5">
            <w:pPr>
              <w:rPr>
                <w:b/>
              </w:rPr>
            </w:pPr>
            <w:r w:rsidRPr="00B426BF">
              <w:rPr>
                <w:b/>
              </w:rPr>
              <w:t>Of which, Job Outcomes: BPS people</w:t>
            </w:r>
          </w:p>
        </w:tc>
        <w:tc>
          <w:tcPr>
            <w:tcW w:w="2300" w:type="dxa"/>
          </w:tcPr>
          <w:p w:rsidR="00D548D5" w:rsidRDefault="00D548D5" w:rsidP="00D548D5">
            <w:r>
              <w:t>Of which, Job Outcomes: All people</w:t>
            </w:r>
          </w:p>
        </w:tc>
      </w:tr>
      <w:tr w:rsidR="00D548D5" w:rsidTr="00B426BF">
        <w:tc>
          <w:tcPr>
            <w:tcW w:w="5353" w:type="dxa"/>
          </w:tcPr>
          <w:p w:rsidR="00D548D5" w:rsidRDefault="00D548D5" w:rsidP="00D548D5">
            <w:r>
              <w:t>Total</w:t>
            </w:r>
          </w:p>
        </w:tc>
        <w:tc>
          <w:tcPr>
            <w:tcW w:w="2126" w:type="dxa"/>
          </w:tcPr>
          <w:p w:rsidR="00D548D5" w:rsidRPr="00B426BF" w:rsidRDefault="00D548D5" w:rsidP="00B426BF">
            <w:pPr>
              <w:jc w:val="right"/>
              <w:rPr>
                <w:b/>
              </w:rPr>
            </w:pPr>
            <w:r w:rsidRPr="00B426BF">
              <w:rPr>
                <w:b/>
              </w:rPr>
              <w:t>1,140</w:t>
            </w:r>
          </w:p>
        </w:tc>
        <w:tc>
          <w:tcPr>
            <w:tcW w:w="2268" w:type="dxa"/>
          </w:tcPr>
          <w:p w:rsidR="00D548D5" w:rsidRDefault="00D548D5" w:rsidP="00B426BF">
            <w:pPr>
              <w:jc w:val="right"/>
            </w:pPr>
            <w:r>
              <w:t>1,727,740</w:t>
            </w:r>
          </w:p>
        </w:tc>
        <w:tc>
          <w:tcPr>
            <w:tcW w:w="2127" w:type="dxa"/>
          </w:tcPr>
          <w:p w:rsidR="00D548D5" w:rsidRPr="00B426BF" w:rsidRDefault="00D548D5" w:rsidP="00B426BF">
            <w:pPr>
              <w:jc w:val="right"/>
              <w:rPr>
                <w:b/>
              </w:rPr>
            </w:pPr>
            <w:r w:rsidRPr="00B426BF">
              <w:rPr>
                <w:b/>
              </w:rPr>
              <w:t>90</w:t>
            </w:r>
          </w:p>
        </w:tc>
        <w:tc>
          <w:tcPr>
            <w:tcW w:w="2300" w:type="dxa"/>
          </w:tcPr>
          <w:p w:rsidR="00D548D5" w:rsidRDefault="00216DBD" w:rsidP="00B426BF">
            <w:pPr>
              <w:jc w:val="right"/>
            </w:pPr>
            <w:r>
              <w:t>432,610</w:t>
            </w:r>
          </w:p>
        </w:tc>
      </w:tr>
      <w:tr w:rsidR="00D548D5" w:rsidTr="00B426BF">
        <w:tc>
          <w:tcPr>
            <w:tcW w:w="5353" w:type="dxa"/>
          </w:tcPr>
          <w:p w:rsidR="00D548D5" w:rsidRDefault="00D548D5" w:rsidP="00D548D5">
            <w:r>
              <w:t>Completed early</w:t>
            </w:r>
          </w:p>
        </w:tc>
        <w:tc>
          <w:tcPr>
            <w:tcW w:w="2126" w:type="dxa"/>
          </w:tcPr>
          <w:p w:rsidR="00D548D5" w:rsidRPr="00B426BF" w:rsidRDefault="00D548D5" w:rsidP="00B426BF">
            <w:pPr>
              <w:jc w:val="right"/>
              <w:rPr>
                <w:b/>
              </w:rPr>
            </w:pPr>
            <w:r w:rsidRPr="00B426BF">
              <w:rPr>
                <w:b/>
              </w:rPr>
              <w:t>10</w:t>
            </w:r>
          </w:p>
        </w:tc>
        <w:tc>
          <w:tcPr>
            <w:tcW w:w="2268" w:type="dxa"/>
          </w:tcPr>
          <w:p w:rsidR="00D548D5" w:rsidRDefault="00D548D5" w:rsidP="00B426BF">
            <w:pPr>
              <w:jc w:val="right"/>
            </w:pPr>
            <w:r>
              <w:t>4,210</w:t>
            </w:r>
          </w:p>
        </w:tc>
        <w:tc>
          <w:tcPr>
            <w:tcW w:w="2127" w:type="dxa"/>
          </w:tcPr>
          <w:p w:rsidR="00D548D5" w:rsidRPr="00B426BF" w:rsidRDefault="00D548D5" w:rsidP="00B426BF">
            <w:pPr>
              <w:jc w:val="right"/>
              <w:rPr>
                <w:b/>
              </w:rPr>
            </w:pPr>
            <w:r w:rsidRPr="00B426BF">
              <w:rPr>
                <w:b/>
              </w:rPr>
              <w:t>-</w:t>
            </w:r>
          </w:p>
        </w:tc>
        <w:tc>
          <w:tcPr>
            <w:tcW w:w="2300" w:type="dxa"/>
          </w:tcPr>
          <w:p w:rsidR="00D548D5" w:rsidRDefault="00216DBD" w:rsidP="00B426BF">
            <w:pPr>
              <w:jc w:val="right"/>
            </w:pPr>
            <w:r>
              <w:t>460</w:t>
            </w:r>
          </w:p>
        </w:tc>
      </w:tr>
      <w:tr w:rsidR="00D548D5" w:rsidTr="00B426BF">
        <w:tc>
          <w:tcPr>
            <w:tcW w:w="5353" w:type="dxa"/>
          </w:tcPr>
          <w:p w:rsidR="00D548D5" w:rsidRDefault="00D548D5" w:rsidP="00D548D5">
            <w:r>
              <w:t>Completed allotted time (104 weeks): Returned to Jobcentre Plus at 104 weeks</w:t>
            </w:r>
          </w:p>
        </w:tc>
        <w:tc>
          <w:tcPr>
            <w:tcW w:w="2126" w:type="dxa"/>
          </w:tcPr>
          <w:p w:rsidR="00D548D5" w:rsidRPr="00B426BF" w:rsidRDefault="00D548D5" w:rsidP="00B426BF">
            <w:pPr>
              <w:jc w:val="right"/>
              <w:rPr>
                <w:b/>
              </w:rPr>
            </w:pPr>
            <w:r w:rsidRPr="00B426BF">
              <w:rPr>
                <w:b/>
              </w:rPr>
              <w:t>590</w:t>
            </w:r>
          </w:p>
        </w:tc>
        <w:tc>
          <w:tcPr>
            <w:tcW w:w="2268" w:type="dxa"/>
          </w:tcPr>
          <w:p w:rsidR="00D548D5" w:rsidRDefault="00D548D5" w:rsidP="00B426BF">
            <w:pPr>
              <w:jc w:val="right"/>
            </w:pPr>
            <w:r>
              <w:t>796,950</w:t>
            </w:r>
          </w:p>
        </w:tc>
        <w:tc>
          <w:tcPr>
            <w:tcW w:w="2127" w:type="dxa"/>
          </w:tcPr>
          <w:p w:rsidR="00D548D5" w:rsidRPr="00B426BF" w:rsidRDefault="00D548D5" w:rsidP="00B426BF">
            <w:pPr>
              <w:jc w:val="right"/>
              <w:rPr>
                <w:b/>
              </w:rPr>
            </w:pPr>
            <w:r w:rsidRPr="00B426BF">
              <w:rPr>
                <w:b/>
              </w:rPr>
              <w:t>10</w:t>
            </w:r>
          </w:p>
        </w:tc>
        <w:tc>
          <w:tcPr>
            <w:tcW w:w="2300" w:type="dxa"/>
          </w:tcPr>
          <w:p w:rsidR="00D548D5" w:rsidRDefault="00216DBD" w:rsidP="00B426BF">
            <w:pPr>
              <w:jc w:val="right"/>
            </w:pPr>
            <w:r>
              <w:t>59,650</w:t>
            </w:r>
          </w:p>
        </w:tc>
      </w:tr>
      <w:tr w:rsidR="00D548D5" w:rsidTr="00B426BF">
        <w:tc>
          <w:tcPr>
            <w:tcW w:w="5353" w:type="dxa"/>
          </w:tcPr>
          <w:p w:rsidR="00D548D5" w:rsidRDefault="00D548D5" w:rsidP="00D548D5">
            <w:r>
              <w:t>Completed allotted time (104 weeks): Returned to Jobcentre Plus post 104 weeks</w:t>
            </w:r>
          </w:p>
        </w:tc>
        <w:tc>
          <w:tcPr>
            <w:tcW w:w="2126" w:type="dxa"/>
          </w:tcPr>
          <w:p w:rsidR="00D548D5" w:rsidRPr="00B426BF" w:rsidRDefault="00D548D5" w:rsidP="00B426BF">
            <w:pPr>
              <w:jc w:val="right"/>
              <w:rPr>
                <w:b/>
              </w:rPr>
            </w:pPr>
            <w:r w:rsidRPr="00B426BF">
              <w:rPr>
                <w:b/>
              </w:rPr>
              <w:t>30</w:t>
            </w:r>
          </w:p>
        </w:tc>
        <w:tc>
          <w:tcPr>
            <w:tcW w:w="2268" w:type="dxa"/>
          </w:tcPr>
          <w:p w:rsidR="00D548D5" w:rsidRDefault="00216DBD" w:rsidP="00B426BF">
            <w:pPr>
              <w:jc w:val="right"/>
            </w:pPr>
            <w:r>
              <w:t>124,720</w:t>
            </w:r>
          </w:p>
        </w:tc>
        <w:tc>
          <w:tcPr>
            <w:tcW w:w="2127" w:type="dxa"/>
          </w:tcPr>
          <w:p w:rsidR="00D548D5" w:rsidRPr="00B426BF" w:rsidRDefault="00D548D5" w:rsidP="00B426BF">
            <w:pPr>
              <w:jc w:val="right"/>
              <w:rPr>
                <w:b/>
              </w:rPr>
            </w:pPr>
            <w:r w:rsidRPr="00B426BF">
              <w:rPr>
                <w:b/>
              </w:rPr>
              <w:t>10</w:t>
            </w:r>
          </w:p>
        </w:tc>
        <w:tc>
          <w:tcPr>
            <w:tcW w:w="2300" w:type="dxa"/>
          </w:tcPr>
          <w:p w:rsidR="00D548D5" w:rsidRDefault="00216DBD" w:rsidP="00B426BF">
            <w:pPr>
              <w:jc w:val="right"/>
            </w:pPr>
            <w:r>
              <w:t>47,190</w:t>
            </w:r>
          </w:p>
        </w:tc>
      </w:tr>
      <w:tr w:rsidR="00D548D5" w:rsidTr="00B426BF">
        <w:tc>
          <w:tcPr>
            <w:tcW w:w="5353" w:type="dxa"/>
          </w:tcPr>
          <w:p w:rsidR="00D548D5" w:rsidRDefault="00D548D5" w:rsidP="00D548D5">
            <w:r>
              <w:t>Completed allotted time (104 weeks): Provider still receiving Outcome payments</w:t>
            </w:r>
          </w:p>
        </w:tc>
        <w:tc>
          <w:tcPr>
            <w:tcW w:w="2126" w:type="dxa"/>
          </w:tcPr>
          <w:p w:rsidR="00D548D5" w:rsidRPr="00B426BF" w:rsidRDefault="00D548D5" w:rsidP="00B426BF">
            <w:pPr>
              <w:jc w:val="right"/>
              <w:rPr>
                <w:b/>
              </w:rPr>
            </w:pPr>
            <w:r w:rsidRPr="00B426BF">
              <w:rPr>
                <w:b/>
              </w:rPr>
              <w:t>40</w:t>
            </w:r>
          </w:p>
        </w:tc>
        <w:tc>
          <w:tcPr>
            <w:tcW w:w="2268" w:type="dxa"/>
          </w:tcPr>
          <w:p w:rsidR="00D548D5" w:rsidRDefault="00216DBD" w:rsidP="00B426BF">
            <w:pPr>
              <w:jc w:val="right"/>
            </w:pPr>
            <w:r>
              <w:t>79,120</w:t>
            </w:r>
          </w:p>
        </w:tc>
        <w:tc>
          <w:tcPr>
            <w:tcW w:w="2127" w:type="dxa"/>
          </w:tcPr>
          <w:p w:rsidR="00D548D5" w:rsidRPr="00B426BF" w:rsidRDefault="00D548D5" w:rsidP="00B426BF">
            <w:pPr>
              <w:jc w:val="right"/>
              <w:rPr>
                <w:b/>
              </w:rPr>
            </w:pPr>
            <w:r w:rsidRPr="00B426BF">
              <w:rPr>
                <w:b/>
              </w:rPr>
              <w:t>30</w:t>
            </w:r>
          </w:p>
        </w:tc>
        <w:tc>
          <w:tcPr>
            <w:tcW w:w="2300" w:type="dxa"/>
          </w:tcPr>
          <w:p w:rsidR="00D548D5" w:rsidRDefault="00216DBD" w:rsidP="00B426BF">
            <w:pPr>
              <w:jc w:val="right"/>
            </w:pPr>
            <w:r>
              <w:t>59,560</w:t>
            </w:r>
          </w:p>
        </w:tc>
      </w:tr>
      <w:tr w:rsidR="00D548D5" w:rsidTr="00B426BF">
        <w:tc>
          <w:tcPr>
            <w:tcW w:w="5353" w:type="dxa"/>
          </w:tcPr>
          <w:p w:rsidR="00D548D5" w:rsidRDefault="00D548D5" w:rsidP="00D548D5">
            <w:r>
              <w:t>Completed: Maximum Outcome payments attained</w:t>
            </w:r>
          </w:p>
        </w:tc>
        <w:tc>
          <w:tcPr>
            <w:tcW w:w="2126" w:type="dxa"/>
          </w:tcPr>
          <w:p w:rsidR="00D548D5" w:rsidRPr="00B426BF" w:rsidRDefault="00D548D5" w:rsidP="00B426BF">
            <w:pPr>
              <w:jc w:val="right"/>
              <w:rPr>
                <w:b/>
              </w:rPr>
            </w:pPr>
            <w:r w:rsidRPr="00B426BF">
              <w:rPr>
                <w:b/>
              </w:rPr>
              <w:t>10</w:t>
            </w:r>
          </w:p>
        </w:tc>
        <w:tc>
          <w:tcPr>
            <w:tcW w:w="2268" w:type="dxa"/>
          </w:tcPr>
          <w:p w:rsidR="00D548D5" w:rsidRDefault="00216DBD" w:rsidP="00B426BF">
            <w:pPr>
              <w:jc w:val="right"/>
            </w:pPr>
            <w:r>
              <w:t>188,290</w:t>
            </w:r>
          </w:p>
        </w:tc>
        <w:tc>
          <w:tcPr>
            <w:tcW w:w="2127" w:type="dxa"/>
          </w:tcPr>
          <w:p w:rsidR="00D548D5" w:rsidRPr="00B426BF" w:rsidRDefault="00D548D5" w:rsidP="00B426BF">
            <w:pPr>
              <w:jc w:val="right"/>
              <w:rPr>
                <w:b/>
              </w:rPr>
            </w:pPr>
            <w:r w:rsidRPr="00B426BF">
              <w:rPr>
                <w:b/>
              </w:rPr>
              <w:t>10</w:t>
            </w:r>
          </w:p>
        </w:tc>
        <w:tc>
          <w:tcPr>
            <w:tcW w:w="2300" w:type="dxa"/>
          </w:tcPr>
          <w:p w:rsidR="00D548D5" w:rsidRDefault="00216DBD" w:rsidP="00B426BF">
            <w:pPr>
              <w:jc w:val="right"/>
            </w:pPr>
            <w:r>
              <w:t>178,490</w:t>
            </w:r>
          </w:p>
        </w:tc>
      </w:tr>
      <w:tr w:rsidR="00D548D5" w:rsidTr="00B426BF">
        <w:tc>
          <w:tcPr>
            <w:tcW w:w="5353" w:type="dxa"/>
          </w:tcPr>
          <w:p w:rsidR="00D548D5" w:rsidRDefault="00D548D5" w:rsidP="00D548D5">
            <w:r>
              <w:t>Still on the scheme</w:t>
            </w:r>
          </w:p>
        </w:tc>
        <w:tc>
          <w:tcPr>
            <w:tcW w:w="2126" w:type="dxa"/>
          </w:tcPr>
          <w:p w:rsidR="00D548D5" w:rsidRPr="00B426BF" w:rsidRDefault="00D548D5" w:rsidP="00B426BF">
            <w:pPr>
              <w:jc w:val="right"/>
              <w:rPr>
                <w:b/>
              </w:rPr>
            </w:pPr>
            <w:r w:rsidRPr="00B426BF">
              <w:rPr>
                <w:b/>
              </w:rPr>
              <w:t>450</w:t>
            </w:r>
          </w:p>
        </w:tc>
        <w:tc>
          <w:tcPr>
            <w:tcW w:w="2268" w:type="dxa"/>
          </w:tcPr>
          <w:p w:rsidR="00D548D5" w:rsidRDefault="00216DBD" w:rsidP="00B426BF">
            <w:pPr>
              <w:jc w:val="right"/>
            </w:pPr>
            <w:r>
              <w:t>515,930</w:t>
            </w:r>
          </w:p>
        </w:tc>
        <w:tc>
          <w:tcPr>
            <w:tcW w:w="2127" w:type="dxa"/>
          </w:tcPr>
          <w:p w:rsidR="00D548D5" w:rsidRPr="00B426BF" w:rsidRDefault="00D548D5" w:rsidP="00B426BF">
            <w:pPr>
              <w:jc w:val="right"/>
              <w:rPr>
                <w:b/>
              </w:rPr>
            </w:pPr>
            <w:r w:rsidRPr="00B426BF">
              <w:rPr>
                <w:b/>
              </w:rPr>
              <w:t>30</w:t>
            </w:r>
          </w:p>
        </w:tc>
        <w:tc>
          <w:tcPr>
            <w:tcW w:w="2300" w:type="dxa"/>
          </w:tcPr>
          <w:p w:rsidR="00D548D5" w:rsidRDefault="00216DBD" w:rsidP="00B426BF">
            <w:pPr>
              <w:jc w:val="right"/>
            </w:pPr>
            <w:r>
              <w:t>87,260</w:t>
            </w:r>
          </w:p>
        </w:tc>
      </w:tr>
      <w:tr w:rsidR="00D548D5" w:rsidTr="00B426BF">
        <w:tc>
          <w:tcPr>
            <w:tcW w:w="5353" w:type="dxa"/>
          </w:tcPr>
          <w:p w:rsidR="00D548D5" w:rsidRDefault="00D548D5" w:rsidP="00D548D5">
            <w:r>
              <w:t>Completed allotted time: Never Attached</w:t>
            </w:r>
          </w:p>
        </w:tc>
        <w:tc>
          <w:tcPr>
            <w:tcW w:w="2126" w:type="dxa"/>
          </w:tcPr>
          <w:p w:rsidR="00D548D5" w:rsidRPr="00B426BF" w:rsidRDefault="00D548D5" w:rsidP="00B426BF">
            <w:pPr>
              <w:jc w:val="right"/>
              <w:rPr>
                <w:b/>
              </w:rPr>
            </w:pPr>
            <w:r w:rsidRPr="00B426BF">
              <w:rPr>
                <w:b/>
              </w:rPr>
              <w:t>10</w:t>
            </w:r>
          </w:p>
        </w:tc>
        <w:tc>
          <w:tcPr>
            <w:tcW w:w="2268" w:type="dxa"/>
          </w:tcPr>
          <w:p w:rsidR="00D548D5" w:rsidRDefault="00216DBD" w:rsidP="00B426BF">
            <w:pPr>
              <w:jc w:val="right"/>
            </w:pPr>
            <w:r>
              <w:t>18,290</w:t>
            </w:r>
          </w:p>
        </w:tc>
        <w:tc>
          <w:tcPr>
            <w:tcW w:w="2127" w:type="dxa"/>
          </w:tcPr>
          <w:p w:rsidR="00D548D5" w:rsidRPr="00B426BF" w:rsidRDefault="00D548D5" w:rsidP="00B426BF">
            <w:pPr>
              <w:jc w:val="right"/>
              <w:rPr>
                <w:b/>
              </w:rPr>
            </w:pPr>
            <w:r w:rsidRPr="00B426BF">
              <w:rPr>
                <w:b/>
              </w:rPr>
              <w:t>-</w:t>
            </w:r>
          </w:p>
        </w:tc>
        <w:tc>
          <w:tcPr>
            <w:tcW w:w="2300" w:type="dxa"/>
          </w:tcPr>
          <w:p w:rsidR="00D548D5" w:rsidRDefault="00216DBD" w:rsidP="00B426BF">
            <w:pPr>
              <w:jc w:val="right"/>
            </w:pPr>
            <w:r>
              <w:t>-</w:t>
            </w:r>
          </w:p>
        </w:tc>
      </w:tr>
      <w:tr w:rsidR="00D548D5" w:rsidTr="00B426BF">
        <w:tc>
          <w:tcPr>
            <w:tcW w:w="5353" w:type="dxa"/>
          </w:tcPr>
          <w:p w:rsidR="00D548D5" w:rsidRDefault="00D548D5" w:rsidP="00D548D5">
            <w:r>
              <w:t>Unknown</w:t>
            </w:r>
          </w:p>
        </w:tc>
        <w:tc>
          <w:tcPr>
            <w:tcW w:w="2126" w:type="dxa"/>
          </w:tcPr>
          <w:p w:rsidR="00D548D5" w:rsidRPr="00B426BF" w:rsidRDefault="00D548D5" w:rsidP="00B426BF">
            <w:pPr>
              <w:jc w:val="right"/>
              <w:rPr>
                <w:b/>
              </w:rPr>
            </w:pPr>
            <w:r w:rsidRPr="00B426BF">
              <w:rPr>
                <w:b/>
              </w:rPr>
              <w:t>-</w:t>
            </w:r>
          </w:p>
        </w:tc>
        <w:tc>
          <w:tcPr>
            <w:tcW w:w="2268" w:type="dxa"/>
          </w:tcPr>
          <w:p w:rsidR="00D548D5" w:rsidRDefault="00216DBD" w:rsidP="00B426BF">
            <w:pPr>
              <w:jc w:val="right"/>
            </w:pPr>
            <w:r>
              <w:t>230</w:t>
            </w:r>
          </w:p>
        </w:tc>
        <w:tc>
          <w:tcPr>
            <w:tcW w:w="2127" w:type="dxa"/>
          </w:tcPr>
          <w:p w:rsidR="00D548D5" w:rsidRPr="00B426BF" w:rsidRDefault="00D548D5" w:rsidP="00B426BF">
            <w:pPr>
              <w:jc w:val="right"/>
              <w:rPr>
                <w:b/>
              </w:rPr>
            </w:pPr>
            <w:r w:rsidRPr="00B426BF">
              <w:rPr>
                <w:b/>
              </w:rPr>
              <w:t>-</w:t>
            </w:r>
          </w:p>
        </w:tc>
        <w:tc>
          <w:tcPr>
            <w:tcW w:w="2300" w:type="dxa"/>
          </w:tcPr>
          <w:p w:rsidR="00D548D5" w:rsidRDefault="00216DBD" w:rsidP="00B426BF">
            <w:pPr>
              <w:jc w:val="right"/>
            </w:pPr>
            <w:r>
              <w:t>-</w:t>
            </w:r>
          </w:p>
        </w:tc>
      </w:tr>
    </w:tbl>
    <w:p w:rsidR="00216DBD" w:rsidRPr="00DE2A5C" w:rsidRDefault="00216DBD" w:rsidP="00216DBD">
      <w:pPr>
        <w:rPr>
          <w:rFonts w:cs="Arial"/>
          <w:bCs/>
          <w:szCs w:val="28"/>
        </w:rPr>
      </w:pPr>
      <w:r w:rsidRPr="00177BCC">
        <w:rPr>
          <w:b/>
        </w:rPr>
        <w:t>Source of BPS data</w:t>
      </w:r>
      <w:r w:rsidRPr="00DE2A5C">
        <w:t xml:space="preserve">: DWP </w:t>
      </w:r>
      <w:r>
        <w:t>Statistical Services</w:t>
      </w:r>
      <w:r w:rsidRPr="00DE2A5C">
        <w:rPr>
          <w:rFonts w:cs="Arial"/>
          <w:bCs/>
          <w:szCs w:val="28"/>
        </w:rPr>
        <w:t xml:space="preserve"> Freedom of Inform</w:t>
      </w:r>
      <w:r>
        <w:rPr>
          <w:rFonts w:cs="Arial"/>
          <w:bCs/>
          <w:szCs w:val="28"/>
        </w:rPr>
        <w:t>ation response to RNIB ref: 2015-3286 dated 12 February 2016</w:t>
      </w:r>
      <w:r w:rsidRPr="00DE2A5C">
        <w:rPr>
          <w:rFonts w:cs="Arial"/>
          <w:bCs/>
          <w:szCs w:val="28"/>
        </w:rPr>
        <w:t xml:space="preserve"> </w:t>
      </w:r>
    </w:p>
    <w:p w:rsidR="00216DBD" w:rsidRPr="00DE2A5C" w:rsidRDefault="00216DBD" w:rsidP="00216DBD">
      <w:r w:rsidRPr="00177BCC">
        <w:rPr>
          <w:b/>
        </w:rPr>
        <w:t>Source of data for all claimants</w:t>
      </w:r>
      <w:r>
        <w:t>: Supplementary Table 1.7, DWP (2015) Work Programme Statistical Summary dated 18 June 2015</w:t>
      </w:r>
      <w:r w:rsidRPr="00DE2A5C">
        <w:t>.</w:t>
      </w:r>
    </w:p>
    <w:p w:rsidR="00216DBD" w:rsidRDefault="00216DBD" w:rsidP="00216DBD">
      <w:r w:rsidRPr="00177BCC">
        <w:rPr>
          <w:b/>
        </w:rPr>
        <w:t>Note</w:t>
      </w:r>
      <w:r>
        <w:rPr>
          <w:b/>
        </w:rPr>
        <w:t>s</w:t>
      </w:r>
      <w:r w:rsidRPr="00177BCC">
        <w:rPr>
          <w:b/>
        </w:rPr>
        <w:t>:</w:t>
      </w:r>
      <w:r w:rsidRPr="00DE2A5C">
        <w:t xml:space="preserve"> ' - ' denotes nil or negligible (less than10)</w:t>
      </w:r>
      <w:r>
        <w:t>;</w:t>
      </w:r>
      <w:r w:rsidRPr="00C478C6">
        <w:t xml:space="preserve"> </w:t>
      </w:r>
      <w:r>
        <w:t>figures are rounded to the nearest 10; tables may not sum due to rounding.</w:t>
      </w:r>
    </w:p>
    <w:p w:rsidR="00000A1E" w:rsidRDefault="00450284" w:rsidP="00000A1E">
      <w:pPr>
        <w:pStyle w:val="Heading3"/>
      </w:pPr>
      <w:r>
        <w:br w:type="page"/>
      </w:r>
    </w:p>
    <w:p w:rsidR="00DF19AB" w:rsidRPr="00450284" w:rsidRDefault="00450284" w:rsidP="00990F98">
      <w:pPr>
        <w:pStyle w:val="Heading3"/>
        <w:rPr>
          <w:sz w:val="24"/>
          <w:szCs w:val="24"/>
        </w:rPr>
      </w:pPr>
      <w:r w:rsidRPr="00450284">
        <w:lastRenderedPageBreak/>
        <w:t>Table 5</w:t>
      </w:r>
      <w:r w:rsidR="00C045D0" w:rsidRPr="00450284">
        <w:t xml:space="preserve">: </w:t>
      </w:r>
      <w:r>
        <w:t xml:space="preserve">number of </w:t>
      </w:r>
      <w:r w:rsidR="00C045D0" w:rsidRPr="00450284">
        <w:t>Work P</w:t>
      </w:r>
      <w:r>
        <w:t>rogramme Referrals, Attachments and</w:t>
      </w:r>
      <w:r w:rsidR="00C045D0" w:rsidRPr="00450284">
        <w:t xml:space="preserve"> Job Outcome p</w:t>
      </w:r>
      <w:r>
        <w:t>ayments</w:t>
      </w:r>
      <w:r w:rsidR="00C045D0" w:rsidRPr="00450284">
        <w:t xml:space="preserve"> </w:t>
      </w:r>
      <w:r>
        <w:t>for people</w:t>
      </w:r>
      <w:r w:rsidR="00990F98" w:rsidRPr="00450284">
        <w:t xml:space="preserve"> with Diseases of the Eye and Adnexa</w:t>
      </w:r>
      <w:r w:rsidR="004B2A69" w:rsidRPr="00450284">
        <w:t xml:space="preserve"> by </w:t>
      </w:r>
      <w:r>
        <w:t xml:space="preserve">country and </w:t>
      </w:r>
      <w:r w:rsidR="004B2A69" w:rsidRPr="00450284">
        <w:t xml:space="preserve">contract: </w:t>
      </w:r>
      <w:r w:rsidR="00C045D0" w:rsidRPr="00450284">
        <w:t>June 2011 t</w:t>
      </w:r>
      <w:r w:rsidR="004B2A69" w:rsidRPr="00450284">
        <w:t xml:space="preserve">o </w:t>
      </w:r>
      <w:r w:rsidRPr="00450284">
        <w:t>March 2015</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559"/>
        <w:gridCol w:w="1560"/>
        <w:gridCol w:w="1275"/>
        <w:gridCol w:w="1134"/>
        <w:gridCol w:w="1276"/>
        <w:gridCol w:w="1843"/>
      </w:tblGrid>
      <w:tr w:rsidR="006930C0" w:rsidRPr="00450284" w:rsidTr="002B5894">
        <w:tc>
          <w:tcPr>
            <w:tcW w:w="5920" w:type="dxa"/>
          </w:tcPr>
          <w:p w:rsidR="006930C0" w:rsidRPr="00450284" w:rsidRDefault="006930C0" w:rsidP="00D332D3">
            <w:pPr>
              <w:rPr>
                <w:b/>
              </w:rPr>
            </w:pPr>
            <w:r w:rsidRPr="00450284">
              <w:rPr>
                <w:b/>
              </w:rPr>
              <w:t>Provider</w:t>
            </w:r>
          </w:p>
        </w:tc>
        <w:tc>
          <w:tcPr>
            <w:tcW w:w="1559" w:type="dxa"/>
          </w:tcPr>
          <w:p w:rsidR="006930C0" w:rsidRPr="00450284" w:rsidRDefault="006930C0" w:rsidP="00D332D3">
            <w:pPr>
              <w:rPr>
                <w:b/>
              </w:rPr>
            </w:pPr>
            <w:r w:rsidRPr="00450284">
              <w:rPr>
                <w:b/>
              </w:rPr>
              <w:t>Referrals</w:t>
            </w:r>
            <w:r>
              <w:rPr>
                <w:b/>
              </w:rPr>
              <w:t>: BPS people</w:t>
            </w:r>
          </w:p>
        </w:tc>
        <w:tc>
          <w:tcPr>
            <w:tcW w:w="1560" w:type="dxa"/>
          </w:tcPr>
          <w:p w:rsidR="006930C0" w:rsidRPr="008E4DAA" w:rsidRDefault="006930C0" w:rsidP="00D332D3">
            <w:r>
              <w:t>Referrals: All people</w:t>
            </w:r>
          </w:p>
        </w:tc>
        <w:tc>
          <w:tcPr>
            <w:tcW w:w="1275" w:type="dxa"/>
          </w:tcPr>
          <w:p w:rsidR="006930C0" w:rsidRPr="00450284" w:rsidRDefault="006930C0" w:rsidP="00D332D3">
            <w:pPr>
              <w:rPr>
                <w:b/>
              </w:rPr>
            </w:pPr>
            <w:r>
              <w:rPr>
                <w:b/>
              </w:rPr>
              <w:t>Attach-</w:t>
            </w:r>
            <w:r w:rsidRPr="00450284">
              <w:rPr>
                <w:b/>
              </w:rPr>
              <w:t>ments</w:t>
            </w:r>
            <w:r>
              <w:rPr>
                <w:b/>
              </w:rPr>
              <w:t>: BPS people</w:t>
            </w:r>
            <w:r w:rsidRPr="00450284">
              <w:rPr>
                <w:b/>
              </w:rPr>
              <w:t xml:space="preserve"> </w:t>
            </w:r>
          </w:p>
        </w:tc>
        <w:tc>
          <w:tcPr>
            <w:tcW w:w="1134" w:type="dxa"/>
          </w:tcPr>
          <w:p w:rsidR="006930C0" w:rsidRPr="008E4DAA" w:rsidRDefault="006930C0" w:rsidP="00D332D3">
            <w:r>
              <w:t>Attach-ments: All people</w:t>
            </w:r>
          </w:p>
        </w:tc>
        <w:tc>
          <w:tcPr>
            <w:tcW w:w="1276" w:type="dxa"/>
          </w:tcPr>
          <w:p w:rsidR="006930C0" w:rsidRPr="006930C0" w:rsidRDefault="006930C0" w:rsidP="00D332D3">
            <w:pPr>
              <w:rPr>
                <w:b/>
              </w:rPr>
            </w:pPr>
            <w:r w:rsidRPr="006930C0">
              <w:rPr>
                <w:b/>
              </w:rPr>
              <w:t>Job Out-come Pay</w:t>
            </w:r>
          </w:p>
          <w:p w:rsidR="006930C0" w:rsidRPr="006930C0" w:rsidRDefault="006930C0" w:rsidP="00D332D3">
            <w:pPr>
              <w:rPr>
                <w:b/>
              </w:rPr>
            </w:pPr>
            <w:r w:rsidRPr="006930C0">
              <w:rPr>
                <w:b/>
              </w:rPr>
              <w:t>ments: BPS people</w:t>
            </w:r>
            <w:r>
              <w:rPr>
                <w:b/>
              </w:rPr>
              <w:t>*</w:t>
            </w:r>
            <w:r w:rsidRPr="006930C0">
              <w:rPr>
                <w:b/>
              </w:rPr>
              <w:t xml:space="preserve"> </w:t>
            </w:r>
          </w:p>
        </w:tc>
        <w:tc>
          <w:tcPr>
            <w:tcW w:w="1843" w:type="dxa"/>
          </w:tcPr>
          <w:p w:rsidR="006930C0" w:rsidRDefault="006930C0" w:rsidP="00D332D3">
            <w:r>
              <w:t>Job Out-come Pay</w:t>
            </w:r>
          </w:p>
          <w:p w:rsidR="006930C0" w:rsidRDefault="006930C0" w:rsidP="00D332D3">
            <w:r>
              <w:t>ments: All people</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East of England: Ingeus UK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61,</w:t>
            </w:r>
            <w:r w:rsidRPr="00AC39FE">
              <w:rPr>
                <w:rFonts w:cs="Arial"/>
                <w:szCs w:val="28"/>
              </w:rPr>
              <w:t>98</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60,</w:t>
            </w:r>
            <w:r w:rsidRPr="0036473D">
              <w:rPr>
                <w:rFonts w:cs="Arial"/>
                <w:szCs w:val="28"/>
              </w:rPr>
              <w:t>58</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18,</w:t>
            </w:r>
            <w:r w:rsidRPr="002B5894">
              <w:rPr>
                <w:rFonts w:cs="Arial"/>
                <w:szCs w:val="28"/>
              </w:rPr>
              <w:t>11</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East of England: Seetec</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40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59,</w:t>
            </w:r>
            <w:r w:rsidRPr="00AC39FE">
              <w:rPr>
                <w:rFonts w:cs="Arial"/>
                <w:szCs w:val="28"/>
              </w:rPr>
              <w:t>45</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58,</w:t>
            </w:r>
            <w:r w:rsidRPr="0036473D">
              <w:rPr>
                <w:rFonts w:cs="Arial"/>
                <w:szCs w:val="28"/>
              </w:rPr>
              <w:t>63</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15,</w:t>
            </w:r>
            <w:r w:rsidRPr="002B5894">
              <w:rPr>
                <w:rFonts w:cs="Arial"/>
                <w:szCs w:val="28"/>
              </w:rPr>
              <w:t>96</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East Midlands: A4E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50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61,</w:t>
            </w:r>
            <w:r w:rsidRPr="00AC39FE">
              <w:rPr>
                <w:rFonts w:cs="Arial"/>
                <w:szCs w:val="28"/>
              </w:rPr>
              <w:t>13</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50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59,</w:t>
            </w:r>
            <w:r w:rsidRPr="0036473D">
              <w:rPr>
                <w:rFonts w:cs="Arial"/>
                <w:szCs w:val="28"/>
              </w:rPr>
              <w:t>47</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14,</w:t>
            </w:r>
            <w:r w:rsidRPr="002B5894">
              <w:rPr>
                <w:rFonts w:cs="Arial"/>
                <w:szCs w:val="28"/>
              </w:rPr>
              <w:t>97</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East Midlands: Ingeus UK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40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63,</w:t>
            </w:r>
            <w:r w:rsidRPr="00AC39FE">
              <w:rPr>
                <w:rFonts w:cs="Arial"/>
                <w:szCs w:val="28"/>
              </w:rPr>
              <w:t>19</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40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61,</w:t>
            </w:r>
            <w:r w:rsidRPr="0036473D">
              <w:rPr>
                <w:rFonts w:cs="Arial"/>
                <w:szCs w:val="28"/>
              </w:rPr>
              <w:t>90</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16,</w:t>
            </w:r>
            <w:r w:rsidRPr="002B5894">
              <w:rPr>
                <w:rFonts w:cs="Arial"/>
                <w:szCs w:val="28"/>
              </w:rPr>
              <w:t>78</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West London: Ingeus UK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sidRPr="00AC39FE">
              <w:rPr>
                <w:rFonts w:cs="Arial"/>
                <w:szCs w:val="28"/>
              </w:rPr>
              <w:t>37.07</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35,</w:t>
            </w:r>
            <w:r w:rsidRPr="0036473D">
              <w:rPr>
                <w:rFonts w:cs="Arial"/>
                <w:szCs w:val="28"/>
              </w:rPr>
              <w:t>96</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9,</w:t>
            </w:r>
            <w:r w:rsidRPr="002B5894">
              <w:rPr>
                <w:rFonts w:cs="Arial"/>
                <w:szCs w:val="28"/>
              </w:rPr>
              <w:t>16</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West London: Maximus Emp UK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35,</w:t>
            </w:r>
            <w:r w:rsidRPr="00AC39FE">
              <w:rPr>
                <w:rFonts w:cs="Arial"/>
                <w:szCs w:val="28"/>
              </w:rPr>
              <w:t>87</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35,</w:t>
            </w:r>
            <w:r w:rsidRPr="0036473D">
              <w:rPr>
                <w:rFonts w:cs="Arial"/>
                <w:szCs w:val="28"/>
              </w:rPr>
              <w:t>13</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8,</w:t>
            </w:r>
            <w:r w:rsidRPr="002B5894">
              <w:rPr>
                <w:rFonts w:cs="Arial"/>
                <w:szCs w:val="28"/>
              </w:rPr>
              <w:t>71</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West London: Reed in Partnership</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40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35,</w:t>
            </w:r>
            <w:r w:rsidRPr="00AC39FE">
              <w:rPr>
                <w:rFonts w:cs="Arial"/>
                <w:szCs w:val="28"/>
              </w:rPr>
              <w:t>31</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40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34,</w:t>
            </w:r>
            <w:r w:rsidRPr="0036473D">
              <w:rPr>
                <w:rFonts w:cs="Arial"/>
                <w:szCs w:val="28"/>
              </w:rPr>
              <w:t>28</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8,</w:t>
            </w:r>
            <w:r w:rsidRPr="002B5894">
              <w:rPr>
                <w:rFonts w:cs="Arial"/>
                <w:szCs w:val="28"/>
              </w:rPr>
              <w:t>18</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East London: A4E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60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49,</w:t>
            </w:r>
            <w:r w:rsidRPr="00AC39FE">
              <w:rPr>
                <w:rFonts w:cs="Arial"/>
                <w:szCs w:val="28"/>
              </w:rPr>
              <w:t>33</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50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rsidP="0036473D">
            <w:pPr>
              <w:jc w:val="right"/>
              <w:rPr>
                <w:rFonts w:cs="Arial"/>
                <w:szCs w:val="28"/>
              </w:rPr>
            </w:pPr>
            <w:r w:rsidRPr="0036473D">
              <w:rPr>
                <w:rFonts w:cs="Arial"/>
                <w:szCs w:val="28"/>
              </w:rPr>
              <w:t>48</w:t>
            </w:r>
            <w:r>
              <w:rPr>
                <w:rFonts w:cs="Arial"/>
                <w:szCs w:val="28"/>
              </w:rPr>
              <w:t>,</w:t>
            </w:r>
            <w:r w:rsidRPr="0036473D">
              <w:rPr>
                <w:rFonts w:cs="Arial"/>
                <w:szCs w:val="28"/>
              </w:rPr>
              <w:t>13</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rsidP="0036473D">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12,</w:t>
            </w:r>
            <w:r w:rsidRPr="002B5894">
              <w:rPr>
                <w:rFonts w:cs="Arial"/>
                <w:szCs w:val="28"/>
              </w:rPr>
              <w:t>39</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East London: Careers Development Group</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40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49,</w:t>
            </w:r>
            <w:r w:rsidRPr="00AC39FE">
              <w:rPr>
                <w:rFonts w:cs="Arial"/>
                <w:szCs w:val="28"/>
              </w:rPr>
              <w:t>23</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40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48,</w:t>
            </w:r>
            <w:r w:rsidRPr="0036473D">
              <w:rPr>
                <w:rFonts w:cs="Arial"/>
                <w:szCs w:val="28"/>
              </w:rPr>
              <w:t>39</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12,</w:t>
            </w:r>
            <w:r w:rsidRPr="002B5894">
              <w:rPr>
                <w:rFonts w:cs="Arial"/>
                <w:szCs w:val="28"/>
              </w:rPr>
              <w:t>92</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East London: Seetec</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48,</w:t>
            </w:r>
            <w:r w:rsidRPr="00AC39FE">
              <w:rPr>
                <w:rFonts w:cs="Arial"/>
                <w:szCs w:val="28"/>
              </w:rPr>
              <w:t>78</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rsidP="0036473D">
            <w:pPr>
              <w:jc w:val="right"/>
              <w:rPr>
                <w:rFonts w:cs="Arial"/>
                <w:szCs w:val="28"/>
              </w:rPr>
            </w:pPr>
            <w:r w:rsidRPr="0036473D">
              <w:rPr>
                <w:rFonts w:cs="Arial"/>
                <w:szCs w:val="28"/>
              </w:rPr>
              <w:t>47</w:t>
            </w:r>
            <w:r>
              <w:rPr>
                <w:rFonts w:cs="Arial"/>
                <w:szCs w:val="28"/>
              </w:rPr>
              <w:t>,</w:t>
            </w:r>
            <w:r w:rsidRPr="0036473D">
              <w:rPr>
                <w:rFonts w:cs="Arial"/>
                <w:szCs w:val="28"/>
              </w:rPr>
              <w:t>77</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rsidP="0036473D">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12,</w:t>
            </w:r>
            <w:r w:rsidRPr="002B5894">
              <w:rPr>
                <w:rFonts w:cs="Arial"/>
                <w:szCs w:val="28"/>
              </w:rPr>
              <w:t>33</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North East: Avanta Enterprise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20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rsidP="00AC39FE">
            <w:pPr>
              <w:jc w:val="right"/>
              <w:rPr>
                <w:rFonts w:cs="Arial"/>
                <w:szCs w:val="28"/>
              </w:rPr>
            </w:pPr>
            <w:r w:rsidRPr="00AC39FE">
              <w:rPr>
                <w:rFonts w:cs="Arial"/>
                <w:szCs w:val="28"/>
              </w:rPr>
              <w:t>53</w:t>
            </w:r>
            <w:r>
              <w:rPr>
                <w:rFonts w:cs="Arial"/>
                <w:szCs w:val="28"/>
              </w:rPr>
              <w:t>,</w:t>
            </w:r>
            <w:r w:rsidRPr="00AC39FE">
              <w:rPr>
                <w:rFonts w:cs="Arial"/>
                <w:szCs w:val="28"/>
              </w:rPr>
              <w:t>00</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20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52,</w:t>
            </w:r>
            <w:r w:rsidRPr="0036473D">
              <w:rPr>
                <w:rFonts w:cs="Arial"/>
                <w:szCs w:val="28"/>
              </w:rPr>
              <w:t>21</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13,</w:t>
            </w:r>
            <w:r w:rsidRPr="002B5894">
              <w:rPr>
                <w:rFonts w:cs="Arial"/>
                <w:szCs w:val="28"/>
              </w:rPr>
              <w:t>66</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North East: Ingeus UK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20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53,</w:t>
            </w:r>
            <w:r w:rsidRPr="00AC39FE">
              <w:rPr>
                <w:rFonts w:cs="Arial"/>
                <w:szCs w:val="28"/>
              </w:rPr>
              <w:t>19</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20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52,</w:t>
            </w:r>
            <w:r w:rsidRPr="0036473D">
              <w:rPr>
                <w:rFonts w:cs="Arial"/>
                <w:szCs w:val="28"/>
              </w:rPr>
              <w:t>43</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13,</w:t>
            </w:r>
            <w:r w:rsidRPr="002B5894">
              <w:rPr>
                <w:rFonts w:cs="Arial"/>
                <w:szCs w:val="28"/>
              </w:rPr>
              <w:t>41</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Merseyside, Halton, Cumbria, Lancs: A4E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40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59,</w:t>
            </w:r>
            <w:r w:rsidRPr="00AC39FE">
              <w:rPr>
                <w:rFonts w:cs="Arial"/>
                <w:szCs w:val="28"/>
              </w:rPr>
              <w:t>31</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57,</w:t>
            </w:r>
            <w:r w:rsidRPr="0036473D">
              <w:rPr>
                <w:rFonts w:cs="Arial"/>
                <w:szCs w:val="28"/>
              </w:rPr>
              <w:t>69</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13,</w:t>
            </w:r>
            <w:r w:rsidRPr="002B5894">
              <w:rPr>
                <w:rFonts w:cs="Arial"/>
                <w:szCs w:val="28"/>
              </w:rPr>
              <w:t>84</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Merseyside, Halton, Cumbria, Lancs: Ingeus UK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59,</w:t>
            </w:r>
            <w:r w:rsidRPr="00AC39FE">
              <w:rPr>
                <w:rFonts w:cs="Arial"/>
                <w:szCs w:val="28"/>
              </w:rPr>
              <w:t>56</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58,</w:t>
            </w:r>
            <w:r w:rsidRPr="0036473D">
              <w:rPr>
                <w:rFonts w:cs="Arial"/>
                <w:szCs w:val="28"/>
              </w:rPr>
              <w:t>53</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14,</w:t>
            </w:r>
            <w:r w:rsidRPr="002B5894">
              <w:rPr>
                <w:rFonts w:cs="Arial"/>
                <w:szCs w:val="28"/>
              </w:rPr>
              <w:t>80</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Manchester, Cheshire, Warrington: Avanta Enterprise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20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39,</w:t>
            </w:r>
            <w:r w:rsidRPr="00AC39FE">
              <w:rPr>
                <w:rFonts w:cs="Arial"/>
                <w:szCs w:val="28"/>
              </w:rPr>
              <w:t>69</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20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39,</w:t>
            </w:r>
            <w:r w:rsidRPr="0036473D">
              <w:rPr>
                <w:rFonts w:cs="Arial"/>
                <w:szCs w:val="28"/>
              </w:rPr>
              <w:t>08</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10,</w:t>
            </w:r>
            <w:r w:rsidRPr="002B5894">
              <w:rPr>
                <w:rFonts w:cs="Arial"/>
                <w:szCs w:val="28"/>
              </w:rPr>
              <w:t>93</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Manchester, Cheshire, Warrington: G4S</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39,</w:t>
            </w:r>
            <w:r w:rsidRPr="00AC39FE">
              <w:rPr>
                <w:rFonts w:cs="Arial"/>
                <w:szCs w:val="28"/>
              </w:rPr>
              <w:t>77</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39,</w:t>
            </w:r>
            <w:r w:rsidRPr="0036473D">
              <w:rPr>
                <w:rFonts w:cs="Arial"/>
                <w:szCs w:val="28"/>
              </w:rPr>
              <w:t>46</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11,</w:t>
            </w:r>
            <w:r w:rsidRPr="002B5894">
              <w:rPr>
                <w:rFonts w:cs="Arial"/>
                <w:szCs w:val="28"/>
              </w:rPr>
              <w:t>34</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Manchester, Cheshire, Warrington: Seetec</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20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39,</w:t>
            </w:r>
            <w:r w:rsidRPr="00AC39FE">
              <w:rPr>
                <w:rFonts w:cs="Arial"/>
                <w:szCs w:val="28"/>
              </w:rPr>
              <w:t>17</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20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38,</w:t>
            </w:r>
            <w:r w:rsidRPr="0036473D">
              <w:rPr>
                <w:rFonts w:cs="Arial"/>
                <w:szCs w:val="28"/>
              </w:rPr>
              <w:t>67</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10,</w:t>
            </w:r>
            <w:r w:rsidRPr="002B5894">
              <w:rPr>
                <w:rFonts w:cs="Arial"/>
                <w:szCs w:val="28"/>
              </w:rPr>
              <w:t>71</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Scotland: Ingeus UK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40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rsidP="00AC39FE">
            <w:pPr>
              <w:jc w:val="right"/>
              <w:rPr>
                <w:rFonts w:cs="Arial"/>
                <w:szCs w:val="28"/>
              </w:rPr>
            </w:pPr>
            <w:r w:rsidRPr="00AC39FE">
              <w:rPr>
                <w:rFonts w:cs="Arial"/>
                <w:szCs w:val="28"/>
              </w:rPr>
              <w:t>84</w:t>
            </w:r>
            <w:r>
              <w:rPr>
                <w:rFonts w:cs="Arial"/>
                <w:szCs w:val="28"/>
              </w:rPr>
              <w:t>,</w:t>
            </w:r>
            <w:r w:rsidRPr="00AC39FE">
              <w:rPr>
                <w:rFonts w:cs="Arial"/>
                <w:szCs w:val="28"/>
              </w:rPr>
              <w:t>83</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40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82,</w:t>
            </w:r>
            <w:r w:rsidRPr="0036473D">
              <w:rPr>
                <w:rFonts w:cs="Arial"/>
                <w:szCs w:val="28"/>
              </w:rPr>
              <w:t>98</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19,</w:t>
            </w:r>
            <w:r w:rsidRPr="002B5894">
              <w:rPr>
                <w:rFonts w:cs="Arial"/>
                <w:szCs w:val="28"/>
              </w:rPr>
              <w:t>75</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lastRenderedPageBreak/>
              <w:t>Scotland: Working Links</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50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83,</w:t>
            </w:r>
            <w:r w:rsidRPr="00AC39FE">
              <w:rPr>
                <w:rFonts w:cs="Arial"/>
                <w:szCs w:val="28"/>
              </w:rPr>
              <w:t>78</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40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82,</w:t>
            </w:r>
            <w:r w:rsidRPr="0036473D">
              <w:rPr>
                <w:rFonts w:cs="Arial"/>
                <w:szCs w:val="28"/>
              </w:rPr>
              <w:t>13</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18,</w:t>
            </w:r>
            <w:r w:rsidRPr="002B5894">
              <w:rPr>
                <w:rFonts w:cs="Arial"/>
                <w:szCs w:val="28"/>
              </w:rPr>
              <w:t>88</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Thames Valley, Hamps, Isle of Wight: A4E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40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34,</w:t>
            </w:r>
            <w:r w:rsidRPr="00AC39FE">
              <w:rPr>
                <w:rFonts w:cs="Arial"/>
                <w:szCs w:val="28"/>
              </w:rPr>
              <w:t>46</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40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33,</w:t>
            </w:r>
            <w:r w:rsidRPr="0036473D">
              <w:rPr>
                <w:rFonts w:cs="Arial"/>
                <w:szCs w:val="28"/>
              </w:rPr>
              <w:t>84</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8,</w:t>
            </w:r>
            <w:r w:rsidRPr="002B5894">
              <w:rPr>
                <w:rFonts w:cs="Arial"/>
                <w:szCs w:val="28"/>
              </w:rPr>
              <w:t>63</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Thames Valley, Hamps, Isle of Wight: Maximus Emp UK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34,</w:t>
            </w:r>
            <w:r w:rsidRPr="00AC39FE">
              <w:rPr>
                <w:rFonts w:cs="Arial"/>
                <w:szCs w:val="28"/>
              </w:rPr>
              <w:t>73</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34,</w:t>
            </w:r>
            <w:r w:rsidRPr="0036473D">
              <w:rPr>
                <w:rFonts w:cs="Arial"/>
                <w:szCs w:val="28"/>
              </w:rPr>
              <w:t>55</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9,</w:t>
            </w:r>
            <w:r w:rsidRPr="002B5894">
              <w:rPr>
                <w:rFonts w:cs="Arial"/>
                <w:szCs w:val="28"/>
              </w:rPr>
              <w:t>96</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Surrey, Sussex, Kent: Avanta Enterprise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40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42,</w:t>
            </w:r>
            <w:r w:rsidRPr="00AC39FE">
              <w:rPr>
                <w:rFonts w:cs="Arial"/>
                <w:szCs w:val="28"/>
              </w:rPr>
              <w:t>55</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40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41,</w:t>
            </w:r>
            <w:r w:rsidRPr="0036473D">
              <w:rPr>
                <w:rFonts w:cs="Arial"/>
                <w:szCs w:val="28"/>
              </w:rPr>
              <w:t>66</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11,</w:t>
            </w:r>
            <w:r w:rsidRPr="002B5894">
              <w:rPr>
                <w:rFonts w:cs="Arial"/>
                <w:szCs w:val="28"/>
              </w:rPr>
              <w:t>57</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Surrey, Sussex, Kent: G4S</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43,</w:t>
            </w:r>
            <w:r w:rsidRPr="00AC39FE">
              <w:rPr>
                <w:rFonts w:cs="Arial"/>
                <w:szCs w:val="28"/>
              </w:rPr>
              <w:t>14</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42,</w:t>
            </w:r>
            <w:r w:rsidRPr="0036473D">
              <w:rPr>
                <w:rFonts w:cs="Arial"/>
                <w:szCs w:val="28"/>
              </w:rPr>
              <w:t>47</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12,</w:t>
            </w:r>
            <w:r w:rsidRPr="002B5894">
              <w:rPr>
                <w:rFonts w:cs="Arial"/>
                <w:szCs w:val="28"/>
              </w:rPr>
              <w:t>05</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Devon, Cornwall, Dorset, Somerset: Prospects Serv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10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25,</w:t>
            </w:r>
            <w:r w:rsidRPr="00AC39FE">
              <w:rPr>
                <w:rFonts w:cs="Arial"/>
                <w:szCs w:val="28"/>
              </w:rPr>
              <w:t>07</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10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24,</w:t>
            </w:r>
            <w:r w:rsidRPr="0036473D">
              <w:rPr>
                <w:rFonts w:cs="Arial"/>
                <w:szCs w:val="28"/>
              </w:rPr>
              <w:t>33</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5,</w:t>
            </w:r>
            <w:r w:rsidRPr="002B5894">
              <w:rPr>
                <w:rFonts w:cs="Arial"/>
                <w:szCs w:val="28"/>
              </w:rPr>
              <w:t>86</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Devon, Cornwall, Dorset, Somerset: Working Links</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20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25,</w:t>
            </w:r>
            <w:r w:rsidRPr="00AC39FE">
              <w:rPr>
                <w:rFonts w:cs="Arial"/>
                <w:szCs w:val="28"/>
              </w:rPr>
              <w:t>26</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20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24,</w:t>
            </w:r>
            <w:r w:rsidRPr="0036473D">
              <w:rPr>
                <w:rFonts w:cs="Arial"/>
                <w:szCs w:val="28"/>
              </w:rPr>
              <w:t>93</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6,</w:t>
            </w:r>
            <w:r w:rsidRPr="002B5894">
              <w:rPr>
                <w:rFonts w:cs="Arial"/>
                <w:szCs w:val="28"/>
              </w:rPr>
              <w:t>32</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Glouc, Wilts, Swindon, West of England: JHP Group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10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23,</w:t>
            </w:r>
            <w:r w:rsidRPr="00AC39FE">
              <w:rPr>
                <w:rFonts w:cs="Arial"/>
                <w:szCs w:val="28"/>
              </w:rPr>
              <w:t>07</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10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22,</w:t>
            </w:r>
            <w:r w:rsidRPr="0036473D">
              <w:rPr>
                <w:rFonts w:cs="Arial"/>
                <w:szCs w:val="28"/>
              </w:rPr>
              <w:t>69</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5,</w:t>
            </w:r>
            <w:r w:rsidRPr="002B5894">
              <w:rPr>
                <w:rFonts w:cs="Arial"/>
                <w:szCs w:val="28"/>
              </w:rPr>
              <w:t>67</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Glouc, Wilts, Swindon, West of England: Rehab jobfit</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20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23,</w:t>
            </w:r>
            <w:r w:rsidRPr="00AC39FE">
              <w:rPr>
                <w:rFonts w:cs="Arial"/>
                <w:szCs w:val="28"/>
              </w:rPr>
              <w:t>09</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20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22,</w:t>
            </w:r>
            <w:r w:rsidRPr="0036473D">
              <w:rPr>
                <w:rFonts w:cs="Arial"/>
                <w:szCs w:val="28"/>
              </w:rPr>
              <w:t>41</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5,</w:t>
            </w:r>
            <w:r w:rsidRPr="002B5894">
              <w:rPr>
                <w:rFonts w:cs="Arial"/>
                <w:szCs w:val="28"/>
              </w:rPr>
              <w:t>50</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Wales: Rehab jobfit</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47,</w:t>
            </w:r>
            <w:r w:rsidRPr="00AC39FE">
              <w:rPr>
                <w:rFonts w:cs="Arial"/>
                <w:szCs w:val="28"/>
              </w:rPr>
              <w:t>10</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45,</w:t>
            </w:r>
            <w:r w:rsidRPr="0036473D">
              <w:rPr>
                <w:rFonts w:cs="Arial"/>
                <w:szCs w:val="28"/>
              </w:rPr>
              <w:t>99</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9,</w:t>
            </w:r>
            <w:r w:rsidRPr="002B5894">
              <w:rPr>
                <w:rFonts w:cs="Arial"/>
                <w:szCs w:val="28"/>
              </w:rPr>
              <w:t>89</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Wales: Working Links</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47,</w:t>
            </w:r>
            <w:r w:rsidRPr="00AC39FE">
              <w:rPr>
                <w:rFonts w:cs="Arial"/>
                <w:szCs w:val="28"/>
              </w:rPr>
              <w:t>72</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20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47,</w:t>
            </w:r>
            <w:r w:rsidRPr="0036473D">
              <w:rPr>
                <w:rFonts w:cs="Arial"/>
                <w:szCs w:val="28"/>
              </w:rPr>
              <w:t>07</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10,</w:t>
            </w:r>
            <w:r w:rsidRPr="002B5894">
              <w:rPr>
                <w:rFonts w:cs="Arial"/>
                <w:szCs w:val="28"/>
              </w:rPr>
              <w:t>61</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Birmingham, Solihull, Black Country: EOS-Works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40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40,</w:t>
            </w:r>
            <w:r w:rsidRPr="00AC39FE">
              <w:rPr>
                <w:rFonts w:cs="Arial"/>
                <w:szCs w:val="28"/>
              </w:rPr>
              <w:t>26</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40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39,</w:t>
            </w:r>
            <w:r w:rsidRPr="0036473D">
              <w:rPr>
                <w:rFonts w:cs="Arial"/>
                <w:szCs w:val="28"/>
              </w:rPr>
              <w:t>75</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10,</w:t>
            </w:r>
            <w:r w:rsidRPr="002B5894">
              <w:rPr>
                <w:rFonts w:cs="Arial"/>
                <w:szCs w:val="28"/>
              </w:rPr>
              <w:t>69</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Birmingham, Solihull, Black Country: Newc College Group</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38,</w:t>
            </w:r>
            <w:r w:rsidRPr="00AC39FE">
              <w:rPr>
                <w:rFonts w:cs="Arial"/>
                <w:szCs w:val="28"/>
              </w:rPr>
              <w:t>52</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37,</w:t>
            </w:r>
            <w:r w:rsidRPr="0036473D">
              <w:rPr>
                <w:rFonts w:cs="Arial"/>
                <w:szCs w:val="28"/>
              </w:rPr>
              <w:t>63</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9,</w:t>
            </w:r>
            <w:r w:rsidRPr="002B5894">
              <w:rPr>
                <w:rFonts w:cs="Arial"/>
                <w:szCs w:val="28"/>
              </w:rPr>
              <w:t>00</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Birmingham, Solihull, Black Country: Pertemps</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20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39,</w:t>
            </w:r>
            <w:r w:rsidRPr="00AC39FE">
              <w:rPr>
                <w:rFonts w:cs="Arial"/>
                <w:szCs w:val="28"/>
              </w:rPr>
              <w:t>27</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20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38,</w:t>
            </w:r>
            <w:r w:rsidRPr="0036473D">
              <w:rPr>
                <w:rFonts w:cs="Arial"/>
                <w:szCs w:val="28"/>
              </w:rPr>
              <w:t>70</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9,</w:t>
            </w:r>
            <w:r w:rsidRPr="002B5894">
              <w:rPr>
                <w:rFonts w:cs="Arial"/>
                <w:szCs w:val="28"/>
              </w:rPr>
              <w:t>03</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Coventry, Warwicks, Staffs, the Marches: ESG</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20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32,</w:t>
            </w:r>
            <w:r w:rsidRPr="00AC39FE">
              <w:rPr>
                <w:rFonts w:cs="Arial"/>
                <w:szCs w:val="28"/>
              </w:rPr>
              <w:t>55</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20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31,</w:t>
            </w:r>
            <w:r w:rsidRPr="0036473D">
              <w:rPr>
                <w:rFonts w:cs="Arial"/>
                <w:szCs w:val="28"/>
              </w:rPr>
              <w:t>57</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8,</w:t>
            </w:r>
            <w:r w:rsidRPr="002B5894">
              <w:rPr>
                <w:rFonts w:cs="Arial"/>
                <w:szCs w:val="28"/>
              </w:rPr>
              <w:t>78</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Coventry, Warwicks, Staffs, the Marches: Serco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32,</w:t>
            </w:r>
            <w:r w:rsidRPr="00AC39FE">
              <w:rPr>
                <w:rFonts w:cs="Arial"/>
                <w:szCs w:val="28"/>
              </w:rPr>
              <w:t>79</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30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32,</w:t>
            </w:r>
            <w:r w:rsidRPr="0036473D">
              <w:rPr>
                <w:rFonts w:cs="Arial"/>
                <w:szCs w:val="28"/>
              </w:rPr>
              <w:t>55</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8,</w:t>
            </w:r>
            <w:r w:rsidRPr="002B5894">
              <w:rPr>
                <w:rFonts w:cs="Arial"/>
                <w:szCs w:val="28"/>
              </w:rPr>
              <w:t>71</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West Yorkshire: Interserve Working Futures</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20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40,</w:t>
            </w:r>
            <w:r w:rsidRPr="00AC39FE">
              <w:rPr>
                <w:rFonts w:cs="Arial"/>
                <w:szCs w:val="28"/>
              </w:rPr>
              <w:t>96</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20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40,</w:t>
            </w:r>
            <w:r w:rsidRPr="0036473D">
              <w:rPr>
                <w:rFonts w:cs="Arial"/>
                <w:szCs w:val="28"/>
              </w:rPr>
              <w:t>34</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8,</w:t>
            </w:r>
            <w:r w:rsidRPr="002B5894">
              <w:rPr>
                <w:rFonts w:cs="Arial"/>
                <w:szCs w:val="28"/>
              </w:rPr>
              <w:t>90</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West Yorkshire: Ingeus UK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20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42,</w:t>
            </w:r>
            <w:r w:rsidRPr="00AC39FE">
              <w:rPr>
                <w:rFonts w:cs="Arial"/>
                <w:szCs w:val="28"/>
              </w:rPr>
              <w:t>50</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20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41,</w:t>
            </w:r>
            <w:r w:rsidRPr="0036473D">
              <w:rPr>
                <w:rFonts w:cs="Arial"/>
                <w:szCs w:val="28"/>
              </w:rPr>
              <w:t>68</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10,</w:t>
            </w:r>
            <w:r w:rsidRPr="002B5894">
              <w:rPr>
                <w:rFonts w:cs="Arial"/>
                <w:szCs w:val="28"/>
              </w:rPr>
              <w:t>60</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South Yorkshire: A4E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10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26,</w:t>
            </w:r>
            <w:r w:rsidRPr="00AC39FE">
              <w:rPr>
                <w:rFonts w:cs="Arial"/>
                <w:szCs w:val="28"/>
              </w:rPr>
              <w:t>18</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10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25,</w:t>
            </w:r>
            <w:r w:rsidRPr="0036473D">
              <w:rPr>
                <w:rFonts w:cs="Arial"/>
                <w:szCs w:val="28"/>
              </w:rPr>
              <w:t>52</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6,</w:t>
            </w:r>
            <w:r w:rsidRPr="002B5894">
              <w:rPr>
                <w:rFonts w:cs="Arial"/>
                <w:szCs w:val="28"/>
              </w:rPr>
              <w:t>36</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lastRenderedPageBreak/>
              <w:t>South Yorkshire: Serco Ltd</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10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26,</w:t>
            </w:r>
            <w:r w:rsidRPr="00AC39FE">
              <w:rPr>
                <w:rFonts w:cs="Arial"/>
                <w:szCs w:val="28"/>
              </w:rPr>
              <w:t>44</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10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26,</w:t>
            </w:r>
            <w:r w:rsidRPr="0036473D">
              <w:rPr>
                <w:rFonts w:cs="Arial"/>
                <w:szCs w:val="28"/>
              </w:rPr>
              <w:t>24</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6,</w:t>
            </w:r>
            <w:r w:rsidRPr="002B5894">
              <w:rPr>
                <w:rFonts w:cs="Arial"/>
                <w:szCs w:val="28"/>
              </w:rPr>
              <w:t>68</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NE Yorks, The Humber: G4S</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10</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pPr>
              <w:jc w:val="right"/>
              <w:rPr>
                <w:rFonts w:cs="Arial"/>
                <w:szCs w:val="28"/>
              </w:rPr>
            </w:pPr>
            <w:r>
              <w:rPr>
                <w:rFonts w:cs="Arial"/>
                <w:szCs w:val="28"/>
              </w:rPr>
              <w:t>24,</w:t>
            </w:r>
            <w:r w:rsidRPr="00AC39FE">
              <w:rPr>
                <w:rFonts w:cs="Arial"/>
                <w:szCs w:val="28"/>
              </w:rPr>
              <w:t>66</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10</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24,</w:t>
            </w:r>
            <w:r w:rsidRPr="0036473D">
              <w:rPr>
                <w:rFonts w:cs="Arial"/>
                <w:szCs w:val="28"/>
              </w:rPr>
              <w:t>37</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5,</w:t>
            </w:r>
            <w:r w:rsidRPr="002B5894">
              <w:rPr>
                <w:rFonts w:cs="Arial"/>
                <w:szCs w:val="28"/>
              </w:rPr>
              <w:t>81</w:t>
            </w:r>
            <w:r>
              <w:rPr>
                <w:rFonts w:cs="Arial"/>
                <w:szCs w:val="28"/>
              </w:rPr>
              <w:t>0</w:t>
            </w:r>
          </w:p>
        </w:tc>
      </w:tr>
      <w:tr w:rsidR="002B5894" w:rsidRPr="00450284" w:rsidTr="002B5894">
        <w:tc>
          <w:tcPr>
            <w:tcW w:w="5920" w:type="dxa"/>
            <w:tcBorders>
              <w:top w:val="single" w:sz="4" w:space="0" w:color="auto"/>
              <w:left w:val="single" w:sz="4" w:space="0" w:color="auto"/>
              <w:bottom w:val="single" w:sz="4" w:space="0" w:color="auto"/>
              <w:right w:val="single" w:sz="4" w:space="0" w:color="auto"/>
            </w:tcBorders>
          </w:tcPr>
          <w:p w:rsidR="002B5894" w:rsidRPr="00450284" w:rsidRDefault="002B5894" w:rsidP="00D332D3">
            <w:r w:rsidRPr="00450284">
              <w:t>NE Yorks, The Humber: Newc College Group</w:t>
            </w:r>
          </w:p>
        </w:tc>
        <w:tc>
          <w:tcPr>
            <w:tcW w:w="1559"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w:t>
            </w:r>
          </w:p>
        </w:tc>
        <w:tc>
          <w:tcPr>
            <w:tcW w:w="1560" w:type="dxa"/>
            <w:tcBorders>
              <w:top w:val="single" w:sz="4" w:space="0" w:color="auto"/>
              <w:left w:val="single" w:sz="4" w:space="0" w:color="auto"/>
              <w:bottom w:val="single" w:sz="4" w:space="0" w:color="auto"/>
              <w:right w:val="single" w:sz="4" w:space="0" w:color="auto"/>
            </w:tcBorders>
          </w:tcPr>
          <w:p w:rsidR="002B5894" w:rsidRPr="00AC39FE" w:rsidRDefault="002B5894" w:rsidP="00AC39FE">
            <w:pPr>
              <w:jc w:val="right"/>
              <w:rPr>
                <w:rFonts w:cs="Arial"/>
                <w:szCs w:val="28"/>
              </w:rPr>
            </w:pPr>
            <w:r w:rsidRPr="00AC39FE">
              <w:rPr>
                <w:rFonts w:cs="Arial"/>
                <w:szCs w:val="28"/>
              </w:rPr>
              <w:t>20</w:t>
            </w:r>
            <w:r>
              <w:rPr>
                <w:rFonts w:cs="Arial"/>
                <w:szCs w:val="28"/>
              </w:rPr>
              <w:t>,</w:t>
            </w:r>
            <w:r w:rsidRPr="00AC39FE">
              <w:rPr>
                <w:rFonts w:cs="Arial"/>
                <w:szCs w:val="28"/>
              </w:rPr>
              <w:t>07</w:t>
            </w:r>
            <w:r>
              <w:rPr>
                <w:rFonts w:cs="Arial"/>
                <w:szCs w:val="28"/>
              </w:rPr>
              <w:t>0</w:t>
            </w:r>
          </w:p>
        </w:tc>
        <w:tc>
          <w:tcPr>
            <w:tcW w:w="1275" w:type="dxa"/>
            <w:tcBorders>
              <w:top w:val="single" w:sz="4" w:space="0" w:color="auto"/>
              <w:left w:val="single" w:sz="4" w:space="0" w:color="auto"/>
              <w:bottom w:val="single" w:sz="4" w:space="0" w:color="auto"/>
              <w:right w:val="single" w:sz="4" w:space="0" w:color="auto"/>
            </w:tcBorders>
          </w:tcPr>
          <w:p w:rsidR="002B5894" w:rsidRPr="00B40C17" w:rsidRDefault="002B5894" w:rsidP="00B40C17">
            <w:pPr>
              <w:jc w:val="right"/>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2B5894" w:rsidRPr="0036473D" w:rsidRDefault="002B5894">
            <w:pPr>
              <w:jc w:val="right"/>
              <w:rPr>
                <w:rFonts w:cs="Arial"/>
                <w:szCs w:val="28"/>
              </w:rPr>
            </w:pPr>
            <w:r>
              <w:rPr>
                <w:rFonts w:cs="Arial"/>
                <w:szCs w:val="28"/>
              </w:rPr>
              <w:t>19,</w:t>
            </w:r>
            <w:r w:rsidRPr="0036473D">
              <w:rPr>
                <w:rFonts w:cs="Arial"/>
                <w:szCs w:val="28"/>
              </w:rPr>
              <w:t>72</w:t>
            </w:r>
            <w:r>
              <w:rPr>
                <w:rFonts w:cs="Arial"/>
                <w:szCs w:val="28"/>
              </w:rPr>
              <w:t>0</w:t>
            </w:r>
          </w:p>
        </w:tc>
        <w:tc>
          <w:tcPr>
            <w:tcW w:w="1276" w:type="dxa"/>
            <w:tcBorders>
              <w:top w:val="single" w:sz="4" w:space="0" w:color="auto"/>
              <w:left w:val="single" w:sz="4" w:space="0" w:color="auto"/>
              <w:bottom w:val="single" w:sz="4" w:space="0" w:color="auto"/>
              <w:right w:val="single" w:sz="4" w:space="0" w:color="auto"/>
            </w:tcBorders>
          </w:tcPr>
          <w:p w:rsidR="002B5894" w:rsidRPr="006930C0" w:rsidRDefault="002B5894">
            <w:pPr>
              <w:jc w:val="right"/>
              <w:rPr>
                <w:rFonts w:cs="Arial"/>
                <w:b/>
                <w:szCs w:val="28"/>
              </w:rPr>
            </w:pPr>
            <w:r>
              <w:rPr>
                <w:rFonts w:cs="Arial"/>
                <w:b/>
                <w:szCs w:val="28"/>
              </w:rPr>
              <w:t>-</w:t>
            </w:r>
          </w:p>
        </w:tc>
        <w:tc>
          <w:tcPr>
            <w:tcW w:w="1843" w:type="dxa"/>
            <w:tcBorders>
              <w:top w:val="single" w:sz="4" w:space="0" w:color="auto"/>
              <w:left w:val="single" w:sz="4" w:space="0" w:color="auto"/>
              <w:bottom w:val="single" w:sz="4" w:space="0" w:color="auto"/>
              <w:right w:val="single" w:sz="4" w:space="0" w:color="auto"/>
            </w:tcBorders>
          </w:tcPr>
          <w:p w:rsidR="002B5894" w:rsidRPr="002B5894" w:rsidRDefault="002B5894">
            <w:pPr>
              <w:jc w:val="right"/>
              <w:rPr>
                <w:rFonts w:cs="Arial"/>
                <w:szCs w:val="28"/>
              </w:rPr>
            </w:pPr>
            <w:r>
              <w:rPr>
                <w:rFonts w:cs="Arial"/>
                <w:szCs w:val="28"/>
              </w:rPr>
              <w:t>5,</w:t>
            </w:r>
            <w:r w:rsidRPr="002B5894">
              <w:rPr>
                <w:rFonts w:cs="Arial"/>
                <w:szCs w:val="28"/>
              </w:rPr>
              <w:t>16</w:t>
            </w:r>
            <w:r>
              <w:rPr>
                <w:rFonts w:cs="Arial"/>
                <w:szCs w:val="28"/>
              </w:rPr>
              <w:t>0</w:t>
            </w:r>
          </w:p>
        </w:tc>
      </w:tr>
    </w:tbl>
    <w:p w:rsidR="00C04940" w:rsidRDefault="006930C0" w:rsidP="00000A1E">
      <w:pPr>
        <w:pStyle w:val="Heading3"/>
      </w:pPr>
      <w:r>
        <w:t>*</w:t>
      </w:r>
      <w:r w:rsidR="00C04940">
        <w:t>NOTE: for BPS people, all Job Outcome Payment figures are nil or negligible</w:t>
      </w:r>
    </w:p>
    <w:p w:rsidR="00C04940" w:rsidRDefault="00C04940" w:rsidP="00000A1E">
      <w:pPr>
        <w:pStyle w:val="Heading3"/>
      </w:pPr>
    </w:p>
    <w:p w:rsidR="00C04940" w:rsidRPr="00DE2A5C" w:rsidRDefault="00C04940" w:rsidP="00C04940">
      <w:pPr>
        <w:rPr>
          <w:rFonts w:cs="Arial"/>
          <w:bCs/>
          <w:szCs w:val="28"/>
        </w:rPr>
      </w:pPr>
      <w:r w:rsidRPr="00177BCC">
        <w:rPr>
          <w:b/>
        </w:rPr>
        <w:t>Source of BPS data</w:t>
      </w:r>
      <w:r w:rsidRPr="00DE2A5C">
        <w:t xml:space="preserve">: DWP </w:t>
      </w:r>
      <w:r>
        <w:t>Statistical Services</w:t>
      </w:r>
      <w:r w:rsidRPr="00DE2A5C">
        <w:rPr>
          <w:rFonts w:cs="Arial"/>
          <w:bCs/>
          <w:szCs w:val="28"/>
        </w:rPr>
        <w:t xml:space="preserve"> Freedom of Inform</w:t>
      </w:r>
      <w:r>
        <w:rPr>
          <w:rFonts w:cs="Arial"/>
          <w:bCs/>
          <w:szCs w:val="28"/>
        </w:rPr>
        <w:t>ation response to RNIB ref: 2015-3286 dated 12 February 2016</w:t>
      </w:r>
      <w:r w:rsidRPr="00DE2A5C">
        <w:rPr>
          <w:rFonts w:cs="Arial"/>
          <w:bCs/>
          <w:szCs w:val="28"/>
        </w:rPr>
        <w:t xml:space="preserve"> </w:t>
      </w:r>
    </w:p>
    <w:p w:rsidR="00C04940" w:rsidRPr="00DE2A5C" w:rsidRDefault="00C04940" w:rsidP="00C04940">
      <w:r w:rsidRPr="00177BCC">
        <w:rPr>
          <w:b/>
        </w:rPr>
        <w:t>Source of data for all claimants</w:t>
      </w:r>
      <w:r>
        <w:t>: Supplementary Table 2.9, DWP (2015) Work Programme Statistical Summary dated 18 June 2015</w:t>
      </w:r>
      <w:r w:rsidRPr="00DE2A5C">
        <w:t>.</w:t>
      </w:r>
    </w:p>
    <w:p w:rsidR="00F2304C" w:rsidRDefault="00C04940" w:rsidP="00F2304C">
      <w:pPr>
        <w:pStyle w:val="Heading3"/>
      </w:pPr>
      <w:r w:rsidRPr="00177BCC">
        <w:rPr>
          <w:b w:val="0"/>
        </w:rPr>
        <w:t>Note</w:t>
      </w:r>
      <w:r>
        <w:rPr>
          <w:b w:val="0"/>
        </w:rPr>
        <w:t>s</w:t>
      </w:r>
      <w:r w:rsidRPr="00177BCC">
        <w:rPr>
          <w:b w:val="0"/>
        </w:rPr>
        <w:t>:</w:t>
      </w:r>
      <w:r w:rsidRPr="00DE2A5C">
        <w:t xml:space="preserve"> ' - ' denotes nil or negligible (less than10)</w:t>
      </w:r>
      <w:r>
        <w:t>;</w:t>
      </w:r>
      <w:r w:rsidRPr="00C478C6">
        <w:t xml:space="preserve"> </w:t>
      </w:r>
      <w:r>
        <w:t>figures are rounded to the nearest 10; tables may not sum due to rounding</w:t>
      </w:r>
    </w:p>
    <w:p w:rsidR="00F2304C" w:rsidRDefault="00F2304C" w:rsidP="00F2304C">
      <w:pPr>
        <w:pStyle w:val="Heading3"/>
      </w:pPr>
    </w:p>
    <w:p w:rsidR="00B77149" w:rsidRPr="00F2304C" w:rsidRDefault="003F774B" w:rsidP="00F2304C">
      <w:pPr>
        <w:pStyle w:val="Heading3"/>
        <w:rPr>
          <w:b w:val="0"/>
        </w:rPr>
      </w:pPr>
      <w:r w:rsidRPr="00F2304C">
        <w:rPr>
          <w:b w:val="0"/>
        </w:rPr>
        <w:t>Sue Keil</w:t>
      </w:r>
    </w:p>
    <w:p w:rsidR="003F774B" w:rsidRPr="00450284" w:rsidRDefault="003F774B" w:rsidP="00DF19AB">
      <w:r w:rsidRPr="00450284">
        <w:t>Evidence and Service Impact</w:t>
      </w:r>
    </w:p>
    <w:p w:rsidR="003F774B" w:rsidRPr="00450284" w:rsidRDefault="003F774B" w:rsidP="003F774B">
      <w:r w:rsidRPr="00450284">
        <w:t>RNIB</w:t>
      </w:r>
    </w:p>
    <w:p w:rsidR="003F774B" w:rsidRPr="00450284" w:rsidRDefault="00000A1E" w:rsidP="003F774B">
      <w:r w:rsidRPr="00450284">
        <w:t>6 April 2016</w:t>
      </w:r>
    </w:p>
    <w:p w:rsidR="003F774B" w:rsidRPr="00450284" w:rsidRDefault="003F774B" w:rsidP="003F774B"/>
    <w:p w:rsidR="003F774B" w:rsidRPr="00DF19AB" w:rsidRDefault="003F774B" w:rsidP="003F774B">
      <w:pPr>
        <w:sectPr w:rsidR="003F774B" w:rsidRPr="00DF19AB" w:rsidSect="00C44605">
          <w:pgSz w:w="16838" w:h="11906" w:orient="landscape" w:code="9"/>
          <w:pgMar w:top="851" w:right="1440" w:bottom="851" w:left="1440" w:header="720" w:footer="720" w:gutter="0"/>
          <w:cols w:space="720"/>
          <w:titlePg/>
        </w:sectPr>
      </w:pPr>
    </w:p>
    <w:p w:rsidR="00D85640" w:rsidRPr="001A3A9E" w:rsidRDefault="00FF0298" w:rsidP="00204318">
      <w:pPr>
        <w:pStyle w:val="Heading2"/>
      </w:pPr>
      <w:r w:rsidRPr="001A3A9E">
        <w:lastRenderedPageBreak/>
        <w:t>R</w:t>
      </w:r>
      <w:r w:rsidR="008E25DA" w:rsidRPr="001A3A9E">
        <w:t>eferences</w:t>
      </w:r>
    </w:p>
    <w:p w:rsidR="00F26DA4" w:rsidRPr="000D583A" w:rsidRDefault="00F26DA4" w:rsidP="00F26DA4">
      <w:pPr>
        <w:rPr>
          <w:color w:val="002060"/>
        </w:rPr>
      </w:pPr>
    </w:p>
    <w:p w:rsidR="00D85640" w:rsidRPr="001A3A9E" w:rsidRDefault="008D03D0" w:rsidP="001A3A9E">
      <w:r>
        <w:t>DWP (2015</w:t>
      </w:r>
      <w:r w:rsidR="00D85640" w:rsidRPr="001A3A9E">
        <w:t xml:space="preserve">) </w:t>
      </w:r>
      <w:r w:rsidR="00D85640" w:rsidRPr="008D03D0">
        <w:rPr>
          <w:b/>
        </w:rPr>
        <w:t>Work Programme</w:t>
      </w:r>
      <w:r w:rsidR="000D583A" w:rsidRPr="008D03D0">
        <w:rPr>
          <w:b/>
        </w:rPr>
        <w:t xml:space="preserve"> </w:t>
      </w:r>
      <w:r w:rsidRPr="008D03D0">
        <w:rPr>
          <w:b/>
        </w:rPr>
        <w:t>Statistical Summary: Data</w:t>
      </w:r>
      <w:r w:rsidR="000D583A" w:rsidRPr="008D03D0">
        <w:rPr>
          <w:b/>
        </w:rPr>
        <w:t xml:space="preserve"> to </w:t>
      </w:r>
      <w:r w:rsidRPr="008D03D0">
        <w:rPr>
          <w:b/>
        </w:rPr>
        <w:t>31March 2015</w:t>
      </w:r>
      <w:r w:rsidR="000D583A" w:rsidRPr="001A3A9E">
        <w:t xml:space="preserve"> </w:t>
      </w:r>
    </w:p>
    <w:p w:rsidR="001A3A9E" w:rsidRDefault="008D03D0" w:rsidP="0000164E">
      <w:r>
        <w:t>DWP official statistics publication 18 June 2015 and associated tables</w:t>
      </w:r>
    </w:p>
    <w:p w:rsidR="00C06F68" w:rsidRDefault="005514FE" w:rsidP="00C06F68">
      <w:hyperlink r:id="rId14" w:history="1">
        <w:r w:rsidR="00C06F68" w:rsidRPr="002D3A4F">
          <w:rPr>
            <w:rStyle w:val="Hyperlink"/>
          </w:rPr>
          <w:t>https://www.gov.uk/government/statistics/work-programme-statistical-summary-data-to-31-march-2015</w:t>
        </w:r>
      </w:hyperlink>
    </w:p>
    <w:p w:rsidR="00204318" w:rsidRDefault="00574E13" w:rsidP="00FF0298">
      <w:pPr>
        <w:pStyle w:val="Heading2"/>
      </w:pPr>
      <w:r w:rsidRPr="000D583A">
        <w:rPr>
          <w:color w:val="002060"/>
        </w:rPr>
        <w:br w:type="page"/>
      </w:r>
      <w:r w:rsidR="00204318">
        <w:lastRenderedPageBreak/>
        <w:t>Appendix A</w:t>
      </w:r>
    </w:p>
    <w:p w:rsidR="00204318" w:rsidRDefault="00204318" w:rsidP="0000164E"/>
    <w:p w:rsidR="00F644C5" w:rsidRDefault="00F644C5" w:rsidP="00204318">
      <w:pPr>
        <w:pStyle w:val="Heading3"/>
      </w:pPr>
      <w:r>
        <w:t>Diseases of the Eye and Adnexa (ICD10)</w:t>
      </w:r>
      <w:r w:rsidR="00204318">
        <w:t xml:space="preserve">: </w:t>
      </w:r>
      <w:r>
        <w:t>Conditions that are associated with vision impairment</w:t>
      </w:r>
    </w:p>
    <w:p w:rsidR="00F644C5" w:rsidRDefault="00F644C5" w:rsidP="00F644C5"/>
    <w:p w:rsidR="00F644C5" w:rsidRDefault="00F644C5" w:rsidP="00F644C5">
      <w:r>
        <w:t xml:space="preserve">The list below is taken from the DWP category 'Diseases of the Eye and Adnexa'. Because this includes some acute medical conditions that do not cause vision impairment, we have removed the acute conditions from the Diseases of the Eye and Adnexa category and would like analysis of DWP data to include </w:t>
      </w:r>
      <w:r w:rsidRPr="00F442F9">
        <w:rPr>
          <w:b/>
        </w:rPr>
        <w:t>only</w:t>
      </w:r>
      <w:r>
        <w:t xml:space="preserve"> those people with the following </w:t>
      </w:r>
      <w:r w:rsidR="00105A95">
        <w:t xml:space="preserve">10 </w:t>
      </w:r>
      <w:r>
        <w:t>conditions:</w:t>
      </w:r>
    </w:p>
    <w:p w:rsidR="00F644C5" w:rsidRDefault="00F644C5" w:rsidP="00F644C5"/>
    <w:p w:rsidR="00F644C5" w:rsidRDefault="00F644C5" w:rsidP="00F644C5">
      <w:pPr>
        <w:numPr>
          <w:ilvl w:val="0"/>
          <w:numId w:val="5"/>
        </w:numPr>
        <w:rPr>
          <w:bCs/>
          <w:szCs w:val="28"/>
        </w:rPr>
      </w:pPr>
      <w:r>
        <w:rPr>
          <w:bCs/>
          <w:szCs w:val="28"/>
        </w:rPr>
        <w:t xml:space="preserve">H16 - Keratitis (inflammation of the cornea) </w:t>
      </w:r>
    </w:p>
    <w:p w:rsidR="00F644C5" w:rsidRDefault="00F644C5" w:rsidP="00F644C5">
      <w:pPr>
        <w:numPr>
          <w:ilvl w:val="0"/>
          <w:numId w:val="5"/>
        </w:numPr>
        <w:rPr>
          <w:bCs/>
          <w:szCs w:val="28"/>
        </w:rPr>
      </w:pPr>
      <w:r>
        <w:rPr>
          <w:bCs/>
          <w:szCs w:val="28"/>
        </w:rPr>
        <w:t xml:space="preserve">H20 - Iridocyclitis (acute inflammatory disease of the anterior segment) </w:t>
      </w:r>
    </w:p>
    <w:p w:rsidR="00F644C5" w:rsidRPr="004C3514" w:rsidRDefault="00F644C5" w:rsidP="00F644C5">
      <w:pPr>
        <w:numPr>
          <w:ilvl w:val="0"/>
          <w:numId w:val="5"/>
        </w:numPr>
        <w:rPr>
          <w:bCs/>
          <w:color w:val="000080"/>
          <w:szCs w:val="28"/>
        </w:rPr>
      </w:pPr>
      <w:r>
        <w:rPr>
          <w:bCs/>
          <w:szCs w:val="28"/>
        </w:rPr>
        <w:t xml:space="preserve">H26 - Other cataract </w:t>
      </w:r>
    </w:p>
    <w:p w:rsidR="00F644C5" w:rsidRDefault="00F644C5" w:rsidP="00F644C5">
      <w:pPr>
        <w:numPr>
          <w:ilvl w:val="0"/>
          <w:numId w:val="5"/>
        </w:numPr>
        <w:rPr>
          <w:bCs/>
          <w:szCs w:val="28"/>
        </w:rPr>
      </w:pPr>
      <w:r>
        <w:rPr>
          <w:bCs/>
          <w:szCs w:val="28"/>
        </w:rPr>
        <w:t>H33 - Retinal detachment and breaks</w:t>
      </w:r>
    </w:p>
    <w:p w:rsidR="00F644C5" w:rsidRDefault="00F644C5" w:rsidP="00F644C5">
      <w:pPr>
        <w:numPr>
          <w:ilvl w:val="0"/>
          <w:numId w:val="5"/>
        </w:numPr>
        <w:rPr>
          <w:bCs/>
          <w:szCs w:val="28"/>
        </w:rPr>
      </w:pPr>
      <w:r>
        <w:rPr>
          <w:bCs/>
          <w:szCs w:val="28"/>
        </w:rPr>
        <w:t>H40 - Glaucoma</w:t>
      </w:r>
    </w:p>
    <w:p w:rsidR="00F644C5" w:rsidRDefault="00F644C5" w:rsidP="00F644C5">
      <w:pPr>
        <w:numPr>
          <w:ilvl w:val="0"/>
          <w:numId w:val="5"/>
        </w:numPr>
        <w:rPr>
          <w:bCs/>
          <w:szCs w:val="28"/>
        </w:rPr>
      </w:pPr>
      <w:r>
        <w:rPr>
          <w:bCs/>
          <w:szCs w:val="28"/>
        </w:rPr>
        <w:t>H44 - Disorders of the globe</w:t>
      </w:r>
    </w:p>
    <w:p w:rsidR="00F644C5" w:rsidRDefault="00F644C5" w:rsidP="00F644C5">
      <w:pPr>
        <w:numPr>
          <w:ilvl w:val="0"/>
          <w:numId w:val="5"/>
        </w:numPr>
        <w:rPr>
          <w:bCs/>
          <w:szCs w:val="28"/>
        </w:rPr>
      </w:pPr>
      <w:r>
        <w:rPr>
          <w:bCs/>
          <w:szCs w:val="28"/>
        </w:rPr>
        <w:t>H47 - Other disorders of the optic (2nd) nerve and visual pathways</w:t>
      </w:r>
    </w:p>
    <w:p w:rsidR="00F644C5" w:rsidRDefault="00F644C5" w:rsidP="00F644C5">
      <w:pPr>
        <w:numPr>
          <w:ilvl w:val="0"/>
          <w:numId w:val="5"/>
        </w:numPr>
        <w:rPr>
          <w:bCs/>
          <w:szCs w:val="28"/>
        </w:rPr>
      </w:pPr>
      <w:r>
        <w:rPr>
          <w:bCs/>
          <w:szCs w:val="28"/>
        </w:rPr>
        <w:t xml:space="preserve">H54 - </w:t>
      </w:r>
      <w:r w:rsidRPr="00682A6B">
        <w:rPr>
          <w:szCs w:val="28"/>
        </w:rPr>
        <w:t>Visual impairment including blindness (binocular or monocular</w:t>
      </w:r>
      <w:r>
        <w:rPr>
          <w:szCs w:val="28"/>
        </w:rPr>
        <w:t>)</w:t>
      </w:r>
      <w:r>
        <w:rPr>
          <w:sz w:val="18"/>
          <w:szCs w:val="18"/>
        </w:rPr>
        <w:t xml:space="preserve"> </w:t>
      </w:r>
      <w:r>
        <w:rPr>
          <w:szCs w:val="28"/>
        </w:rPr>
        <w:t>(</w:t>
      </w:r>
      <w:r>
        <w:rPr>
          <w:bCs/>
          <w:szCs w:val="28"/>
        </w:rPr>
        <w:t>Blindness and low vision)</w:t>
      </w:r>
    </w:p>
    <w:p w:rsidR="00F644C5" w:rsidRDefault="00F644C5" w:rsidP="00F644C5">
      <w:pPr>
        <w:numPr>
          <w:ilvl w:val="0"/>
          <w:numId w:val="5"/>
        </w:numPr>
        <w:rPr>
          <w:bCs/>
          <w:szCs w:val="28"/>
        </w:rPr>
      </w:pPr>
      <w:r>
        <w:rPr>
          <w:bCs/>
          <w:szCs w:val="28"/>
        </w:rPr>
        <w:t>H55 - Nystagmus and other irregular eye movement</w:t>
      </w:r>
    </w:p>
    <w:p w:rsidR="00F644C5" w:rsidRDefault="00F644C5" w:rsidP="00F644C5">
      <w:pPr>
        <w:numPr>
          <w:ilvl w:val="0"/>
          <w:numId w:val="5"/>
        </w:numPr>
        <w:rPr>
          <w:bCs/>
          <w:szCs w:val="28"/>
        </w:rPr>
      </w:pPr>
      <w:r>
        <w:rPr>
          <w:bCs/>
          <w:szCs w:val="28"/>
        </w:rPr>
        <w:t>H57 - Other disorders of the eye and adnexa</w:t>
      </w:r>
    </w:p>
    <w:p w:rsidR="00F644C5" w:rsidRDefault="00F644C5" w:rsidP="00F644C5">
      <w:pPr>
        <w:rPr>
          <w:bCs/>
          <w:szCs w:val="28"/>
        </w:rPr>
      </w:pPr>
    </w:p>
    <w:p w:rsidR="00F644C5" w:rsidRDefault="00F644C5" w:rsidP="00F644C5">
      <w:pPr>
        <w:pStyle w:val="Heading3"/>
      </w:pPr>
      <w:r>
        <w:t>Acute conditions that have been removed from the Diseases of the Eye and Adnexa category</w:t>
      </w:r>
    </w:p>
    <w:p w:rsidR="00F644C5" w:rsidRDefault="00F644C5" w:rsidP="00F644C5">
      <w:pPr>
        <w:numPr>
          <w:ilvl w:val="0"/>
          <w:numId w:val="6"/>
        </w:numPr>
        <w:rPr>
          <w:rFonts w:cs="Arial"/>
          <w:bCs/>
          <w:szCs w:val="28"/>
        </w:rPr>
      </w:pPr>
      <w:r>
        <w:rPr>
          <w:rFonts w:cs="Arial"/>
          <w:bCs/>
          <w:szCs w:val="28"/>
        </w:rPr>
        <w:t xml:space="preserve">Hordeolum and chalazion (these are inflammatory eye disorders) </w:t>
      </w:r>
    </w:p>
    <w:p w:rsidR="00F644C5" w:rsidRDefault="00F644C5" w:rsidP="00F644C5">
      <w:pPr>
        <w:numPr>
          <w:ilvl w:val="0"/>
          <w:numId w:val="6"/>
        </w:numPr>
        <w:rPr>
          <w:rFonts w:cs="Arial"/>
          <w:bCs/>
          <w:szCs w:val="28"/>
        </w:rPr>
      </w:pPr>
      <w:r>
        <w:rPr>
          <w:rFonts w:cs="Arial"/>
          <w:bCs/>
          <w:szCs w:val="28"/>
        </w:rPr>
        <w:t xml:space="preserve">Other inflammation of the eyelid </w:t>
      </w:r>
    </w:p>
    <w:p w:rsidR="00F644C5" w:rsidRDefault="00F644C5" w:rsidP="00F644C5">
      <w:pPr>
        <w:numPr>
          <w:ilvl w:val="0"/>
          <w:numId w:val="6"/>
        </w:numPr>
        <w:rPr>
          <w:rFonts w:cs="Arial"/>
          <w:bCs/>
          <w:szCs w:val="28"/>
        </w:rPr>
      </w:pPr>
      <w:r>
        <w:rPr>
          <w:rFonts w:cs="Arial"/>
          <w:bCs/>
          <w:szCs w:val="28"/>
        </w:rPr>
        <w:t xml:space="preserve">Conjunctivitis </w:t>
      </w:r>
    </w:p>
    <w:p w:rsidR="00F644C5" w:rsidRPr="005926AE" w:rsidRDefault="00F644C5" w:rsidP="00F644C5">
      <w:pPr>
        <w:numPr>
          <w:ilvl w:val="0"/>
          <w:numId w:val="6"/>
        </w:numPr>
        <w:autoSpaceDE w:val="0"/>
        <w:autoSpaceDN w:val="0"/>
        <w:adjustRightInd w:val="0"/>
        <w:rPr>
          <w:rFonts w:cs="Arial"/>
          <w:szCs w:val="28"/>
        </w:rPr>
      </w:pPr>
      <w:r w:rsidRPr="005926AE">
        <w:rPr>
          <w:rFonts w:cs="Arial"/>
          <w:szCs w:val="28"/>
        </w:rPr>
        <w:t>Foreign body on external Eye</w:t>
      </w:r>
    </w:p>
    <w:p w:rsidR="00CA5461" w:rsidRPr="00CD0E2C" w:rsidRDefault="00CD0E2C" w:rsidP="00CD0E2C">
      <w:pPr>
        <w:numPr>
          <w:ilvl w:val="0"/>
          <w:numId w:val="6"/>
        </w:numPr>
        <w:autoSpaceDE w:val="0"/>
        <w:autoSpaceDN w:val="0"/>
        <w:adjustRightInd w:val="0"/>
        <w:rPr>
          <w:rFonts w:cs="Arial"/>
          <w:szCs w:val="28"/>
        </w:rPr>
      </w:pPr>
      <w:r>
        <w:rPr>
          <w:rFonts w:cs="Arial"/>
          <w:szCs w:val="28"/>
        </w:rPr>
        <w:t>Other Inflammation of Eyelid</w:t>
      </w:r>
      <w:bookmarkStart w:id="0" w:name="_GoBack"/>
      <w:bookmarkEnd w:id="0"/>
    </w:p>
    <w:sectPr w:rsidR="00CA5461" w:rsidRPr="00CD0E2C" w:rsidSect="00C44605">
      <w:pgSz w:w="11906" w:h="16838" w:code="9"/>
      <w:pgMar w:top="1440" w:right="851" w:bottom="1440"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FE" w:rsidRDefault="005514FE">
      <w:r>
        <w:separator/>
      </w:r>
    </w:p>
  </w:endnote>
  <w:endnote w:type="continuationSeparator" w:id="0">
    <w:p w:rsidR="005514FE" w:rsidRDefault="0055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5A" w:rsidRDefault="0092665A" w:rsidP="006D6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665A" w:rsidRDefault="00926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5A" w:rsidRDefault="0092665A" w:rsidP="006D6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651E">
      <w:rPr>
        <w:rStyle w:val="PageNumber"/>
        <w:noProof/>
      </w:rPr>
      <w:t>13</w:t>
    </w:r>
    <w:r>
      <w:rPr>
        <w:rStyle w:val="PageNumber"/>
      </w:rPr>
      <w:fldChar w:fldCharType="end"/>
    </w:r>
  </w:p>
  <w:p w:rsidR="0092665A" w:rsidRDefault="00926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5A" w:rsidRDefault="0092665A">
    <w:pPr>
      <w:pStyle w:val="Footer"/>
    </w:pPr>
    <w:r>
      <w:fldChar w:fldCharType="begin"/>
    </w:r>
    <w:r>
      <w:instrText xml:space="preserve"> PAGE   \* MERGEFORMAT </w:instrText>
    </w:r>
    <w:r>
      <w:fldChar w:fldCharType="separate"/>
    </w:r>
    <w:r w:rsidR="008B651E">
      <w:rPr>
        <w:noProof/>
      </w:rPr>
      <w:t>12</w:t>
    </w:r>
    <w:r>
      <w:fldChar w:fldCharType="end"/>
    </w:r>
  </w:p>
  <w:p w:rsidR="0092665A" w:rsidRDefault="00926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FE" w:rsidRDefault="005514FE">
      <w:r>
        <w:separator/>
      </w:r>
    </w:p>
  </w:footnote>
  <w:footnote w:type="continuationSeparator" w:id="0">
    <w:p w:rsidR="005514FE" w:rsidRDefault="00551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BCA4970"/>
    <w:lvl w:ilvl="0">
      <w:start w:val="1"/>
      <w:numFmt w:val="decimal"/>
      <w:pStyle w:val="ListNumber"/>
      <w:lvlText w:val="%1."/>
      <w:lvlJc w:val="left"/>
      <w:pPr>
        <w:tabs>
          <w:tab w:val="num" w:pos="360"/>
        </w:tabs>
        <w:ind w:left="360" w:hanging="360"/>
      </w:pPr>
    </w:lvl>
  </w:abstractNum>
  <w:abstractNum w:abstractNumId="1">
    <w:nsid w:val="FFFFFF89"/>
    <w:multiLevelType w:val="singleLevel"/>
    <w:tmpl w:val="168A2D3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6D2E69"/>
    <w:multiLevelType w:val="hybridMultilevel"/>
    <w:tmpl w:val="72C218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4061135"/>
    <w:multiLevelType w:val="hybridMultilevel"/>
    <w:tmpl w:val="C2C0C1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A354E66"/>
    <w:multiLevelType w:val="hybridMultilevel"/>
    <w:tmpl w:val="B22A90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13B39B9"/>
    <w:multiLevelType w:val="multilevel"/>
    <w:tmpl w:val="C2C0C1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AB179F"/>
    <w:multiLevelType w:val="hybridMultilevel"/>
    <w:tmpl w:val="706A0D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0B6F8D"/>
    <w:multiLevelType w:val="hybridMultilevel"/>
    <w:tmpl w:val="9D484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D197890"/>
    <w:multiLevelType w:val="hybridMultilevel"/>
    <w:tmpl w:val="14FED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231210"/>
    <w:multiLevelType w:val="hybridMultilevel"/>
    <w:tmpl w:val="4692AD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186742"/>
    <w:multiLevelType w:val="hybridMultilevel"/>
    <w:tmpl w:val="30548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B2798A"/>
    <w:multiLevelType w:val="hybridMultilevel"/>
    <w:tmpl w:val="133AF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3D328E"/>
    <w:multiLevelType w:val="hybridMultilevel"/>
    <w:tmpl w:val="47BC72D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8FB3045"/>
    <w:multiLevelType w:val="hybridMultilevel"/>
    <w:tmpl w:val="021A15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9220680"/>
    <w:multiLevelType w:val="hybridMultilevel"/>
    <w:tmpl w:val="00867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B62E1D"/>
    <w:multiLevelType w:val="hybridMultilevel"/>
    <w:tmpl w:val="79682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022471"/>
    <w:multiLevelType w:val="hybridMultilevel"/>
    <w:tmpl w:val="7B18D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754F69"/>
    <w:multiLevelType w:val="hybridMultilevel"/>
    <w:tmpl w:val="78720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7010FDD"/>
    <w:multiLevelType w:val="hybridMultilevel"/>
    <w:tmpl w:val="783AD1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C613FF7"/>
    <w:multiLevelType w:val="hybridMultilevel"/>
    <w:tmpl w:val="73B6B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BA1906"/>
    <w:multiLevelType w:val="hybridMultilevel"/>
    <w:tmpl w:val="54DC16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002004A"/>
    <w:multiLevelType w:val="hybridMultilevel"/>
    <w:tmpl w:val="9EC0B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45047F"/>
    <w:multiLevelType w:val="hybridMultilevel"/>
    <w:tmpl w:val="7EEA5B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5495FE1"/>
    <w:multiLevelType w:val="hybridMultilevel"/>
    <w:tmpl w:val="392241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67C7AFF"/>
    <w:multiLevelType w:val="hybridMultilevel"/>
    <w:tmpl w:val="C15C6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BE1633"/>
    <w:multiLevelType w:val="multilevel"/>
    <w:tmpl w:val="B22A90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FAC69A5"/>
    <w:multiLevelType w:val="hybridMultilevel"/>
    <w:tmpl w:val="3EE89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B4676C"/>
    <w:multiLevelType w:val="hybridMultilevel"/>
    <w:tmpl w:val="B5C6162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A5C7440"/>
    <w:multiLevelType w:val="multilevel"/>
    <w:tmpl w:val="021A15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
  </w:num>
  <w:num w:numId="3">
    <w:abstractNumId w:val="0"/>
  </w:num>
  <w:num w:numId="4">
    <w:abstractNumId w:val="0"/>
  </w:num>
  <w:num w:numId="5">
    <w:abstractNumId w:val="14"/>
  </w:num>
  <w:num w:numId="6">
    <w:abstractNumId w:val="16"/>
  </w:num>
  <w:num w:numId="7">
    <w:abstractNumId w:val="23"/>
  </w:num>
  <w:num w:numId="8">
    <w:abstractNumId w:val="9"/>
  </w:num>
  <w:num w:numId="9">
    <w:abstractNumId w:val="6"/>
  </w:num>
  <w:num w:numId="10">
    <w:abstractNumId w:val="20"/>
  </w:num>
  <w:num w:numId="11">
    <w:abstractNumId w:val="12"/>
  </w:num>
  <w:num w:numId="12">
    <w:abstractNumId w:val="27"/>
  </w:num>
  <w:num w:numId="13">
    <w:abstractNumId w:val="4"/>
  </w:num>
  <w:num w:numId="14">
    <w:abstractNumId w:val="25"/>
  </w:num>
  <w:num w:numId="15">
    <w:abstractNumId w:val="13"/>
  </w:num>
  <w:num w:numId="16">
    <w:abstractNumId w:val="28"/>
  </w:num>
  <w:num w:numId="17">
    <w:abstractNumId w:val="3"/>
  </w:num>
  <w:num w:numId="18">
    <w:abstractNumId w:val="5"/>
  </w:num>
  <w:num w:numId="19">
    <w:abstractNumId w:val="22"/>
  </w:num>
  <w:num w:numId="20">
    <w:abstractNumId w:val="2"/>
  </w:num>
  <w:num w:numId="21">
    <w:abstractNumId w:val="7"/>
  </w:num>
  <w:num w:numId="22">
    <w:abstractNumId w:val="18"/>
  </w:num>
  <w:num w:numId="23">
    <w:abstractNumId w:val="10"/>
  </w:num>
  <w:num w:numId="24">
    <w:abstractNumId w:val="8"/>
  </w:num>
  <w:num w:numId="25">
    <w:abstractNumId w:val="19"/>
  </w:num>
  <w:num w:numId="26">
    <w:abstractNumId w:val="15"/>
  </w:num>
  <w:num w:numId="27">
    <w:abstractNumId w:val="24"/>
  </w:num>
  <w:num w:numId="28">
    <w:abstractNumId w:val="21"/>
  </w:num>
  <w:num w:numId="29">
    <w:abstractNumId w:val="11"/>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C5"/>
    <w:rsid w:val="00000A1E"/>
    <w:rsid w:val="0000164E"/>
    <w:rsid w:val="00023C3D"/>
    <w:rsid w:val="00054E66"/>
    <w:rsid w:val="00065CCC"/>
    <w:rsid w:val="0006743F"/>
    <w:rsid w:val="000706C7"/>
    <w:rsid w:val="00077378"/>
    <w:rsid w:val="00080813"/>
    <w:rsid w:val="000A2DEE"/>
    <w:rsid w:val="000A7C6E"/>
    <w:rsid w:val="000B3EBC"/>
    <w:rsid w:val="000B5C0C"/>
    <w:rsid w:val="000C2CDA"/>
    <w:rsid w:val="000C3AEF"/>
    <w:rsid w:val="000C6178"/>
    <w:rsid w:val="000C6AE5"/>
    <w:rsid w:val="000D0670"/>
    <w:rsid w:val="000D583A"/>
    <w:rsid w:val="000D6D1E"/>
    <w:rsid w:val="000F352D"/>
    <w:rsid w:val="000F4AED"/>
    <w:rsid w:val="000F6D26"/>
    <w:rsid w:val="00105A95"/>
    <w:rsid w:val="001130FA"/>
    <w:rsid w:val="0012600D"/>
    <w:rsid w:val="00145CCE"/>
    <w:rsid w:val="0015624E"/>
    <w:rsid w:val="0015629A"/>
    <w:rsid w:val="00166EF9"/>
    <w:rsid w:val="00177BCC"/>
    <w:rsid w:val="00182FBA"/>
    <w:rsid w:val="001836F1"/>
    <w:rsid w:val="001A00E1"/>
    <w:rsid w:val="001A3A9E"/>
    <w:rsid w:val="001A6F92"/>
    <w:rsid w:val="001B2946"/>
    <w:rsid w:val="001C169E"/>
    <w:rsid w:val="001C2A84"/>
    <w:rsid w:val="001C48FF"/>
    <w:rsid w:val="001C547A"/>
    <w:rsid w:val="001D1504"/>
    <w:rsid w:val="001D230B"/>
    <w:rsid w:val="001E009F"/>
    <w:rsid w:val="001E7FE5"/>
    <w:rsid w:val="001F1CBC"/>
    <w:rsid w:val="001F4EBE"/>
    <w:rsid w:val="0020197B"/>
    <w:rsid w:val="00203799"/>
    <w:rsid w:val="00204318"/>
    <w:rsid w:val="00216DBD"/>
    <w:rsid w:val="00222BF6"/>
    <w:rsid w:val="002276D9"/>
    <w:rsid w:val="00235E50"/>
    <w:rsid w:val="0024338E"/>
    <w:rsid w:val="00247A18"/>
    <w:rsid w:val="002528C1"/>
    <w:rsid w:val="00256FB7"/>
    <w:rsid w:val="0026252C"/>
    <w:rsid w:val="00277454"/>
    <w:rsid w:val="00283603"/>
    <w:rsid w:val="002869E7"/>
    <w:rsid w:val="00295AF8"/>
    <w:rsid w:val="002A7612"/>
    <w:rsid w:val="002B4ED9"/>
    <w:rsid w:val="002B5894"/>
    <w:rsid w:val="002B78DB"/>
    <w:rsid w:val="002C493B"/>
    <w:rsid w:val="002C61D2"/>
    <w:rsid w:val="002D2F22"/>
    <w:rsid w:val="002E01CB"/>
    <w:rsid w:val="002F1C1A"/>
    <w:rsid w:val="0030160A"/>
    <w:rsid w:val="003047B8"/>
    <w:rsid w:val="00313045"/>
    <w:rsid w:val="00315C4A"/>
    <w:rsid w:val="003324A0"/>
    <w:rsid w:val="00333307"/>
    <w:rsid w:val="003335F8"/>
    <w:rsid w:val="00336E73"/>
    <w:rsid w:val="0035329B"/>
    <w:rsid w:val="0036473D"/>
    <w:rsid w:val="00367D75"/>
    <w:rsid w:val="00375EC2"/>
    <w:rsid w:val="00381291"/>
    <w:rsid w:val="0039255C"/>
    <w:rsid w:val="00395D7A"/>
    <w:rsid w:val="003965C3"/>
    <w:rsid w:val="003A78FD"/>
    <w:rsid w:val="003C3B5E"/>
    <w:rsid w:val="003F2BA0"/>
    <w:rsid w:val="003F774B"/>
    <w:rsid w:val="004021E4"/>
    <w:rsid w:val="00407801"/>
    <w:rsid w:val="00410A13"/>
    <w:rsid w:val="00435C91"/>
    <w:rsid w:val="004436DF"/>
    <w:rsid w:val="00450284"/>
    <w:rsid w:val="00453DC2"/>
    <w:rsid w:val="00454470"/>
    <w:rsid w:val="00466685"/>
    <w:rsid w:val="0048054C"/>
    <w:rsid w:val="00496C41"/>
    <w:rsid w:val="004B2A69"/>
    <w:rsid w:val="004C5B0B"/>
    <w:rsid w:val="004C63A6"/>
    <w:rsid w:val="004C72CA"/>
    <w:rsid w:val="004C73AA"/>
    <w:rsid w:val="004D4929"/>
    <w:rsid w:val="004D6F9F"/>
    <w:rsid w:val="004E75CF"/>
    <w:rsid w:val="005049C8"/>
    <w:rsid w:val="0051043B"/>
    <w:rsid w:val="00524DEB"/>
    <w:rsid w:val="00527B85"/>
    <w:rsid w:val="005453A8"/>
    <w:rsid w:val="00547A0A"/>
    <w:rsid w:val="005514FE"/>
    <w:rsid w:val="00551927"/>
    <w:rsid w:val="005663A6"/>
    <w:rsid w:val="00567522"/>
    <w:rsid w:val="005723B4"/>
    <w:rsid w:val="00574E13"/>
    <w:rsid w:val="005A4F2D"/>
    <w:rsid w:val="005A691B"/>
    <w:rsid w:val="005B0C79"/>
    <w:rsid w:val="005B2747"/>
    <w:rsid w:val="005C35EB"/>
    <w:rsid w:val="005C766A"/>
    <w:rsid w:val="005D3D7B"/>
    <w:rsid w:val="005D4A74"/>
    <w:rsid w:val="005F6CCA"/>
    <w:rsid w:val="006063A4"/>
    <w:rsid w:val="0061560F"/>
    <w:rsid w:val="00625845"/>
    <w:rsid w:val="00641C8B"/>
    <w:rsid w:val="00644DDF"/>
    <w:rsid w:val="00646027"/>
    <w:rsid w:val="00655F48"/>
    <w:rsid w:val="0065604A"/>
    <w:rsid w:val="00664D63"/>
    <w:rsid w:val="006930C0"/>
    <w:rsid w:val="006A0C2B"/>
    <w:rsid w:val="006B1377"/>
    <w:rsid w:val="006D6E38"/>
    <w:rsid w:val="006E0FE0"/>
    <w:rsid w:val="006E57F8"/>
    <w:rsid w:val="006F2981"/>
    <w:rsid w:val="00707624"/>
    <w:rsid w:val="00717A6F"/>
    <w:rsid w:val="007235D9"/>
    <w:rsid w:val="00733C30"/>
    <w:rsid w:val="0074597F"/>
    <w:rsid w:val="0076614D"/>
    <w:rsid w:val="00775998"/>
    <w:rsid w:val="00775B13"/>
    <w:rsid w:val="007923CE"/>
    <w:rsid w:val="0079443B"/>
    <w:rsid w:val="007949E9"/>
    <w:rsid w:val="007A4102"/>
    <w:rsid w:val="007D7FDD"/>
    <w:rsid w:val="008401F0"/>
    <w:rsid w:val="00845955"/>
    <w:rsid w:val="00853BD5"/>
    <w:rsid w:val="008746C6"/>
    <w:rsid w:val="00884AB4"/>
    <w:rsid w:val="0088661F"/>
    <w:rsid w:val="00886ABE"/>
    <w:rsid w:val="008A5056"/>
    <w:rsid w:val="008B0654"/>
    <w:rsid w:val="008B651E"/>
    <w:rsid w:val="008C46E1"/>
    <w:rsid w:val="008D03D0"/>
    <w:rsid w:val="008D406A"/>
    <w:rsid w:val="008D7303"/>
    <w:rsid w:val="008E07D6"/>
    <w:rsid w:val="008E25DA"/>
    <w:rsid w:val="008E4DAA"/>
    <w:rsid w:val="00913FC8"/>
    <w:rsid w:val="00917032"/>
    <w:rsid w:val="0092445E"/>
    <w:rsid w:val="0092665A"/>
    <w:rsid w:val="009278EA"/>
    <w:rsid w:val="00940D85"/>
    <w:rsid w:val="009428BE"/>
    <w:rsid w:val="00942B17"/>
    <w:rsid w:val="00950100"/>
    <w:rsid w:val="00953493"/>
    <w:rsid w:val="00954F1F"/>
    <w:rsid w:val="00973814"/>
    <w:rsid w:val="00980B85"/>
    <w:rsid w:val="00983475"/>
    <w:rsid w:val="00990930"/>
    <w:rsid w:val="00990F98"/>
    <w:rsid w:val="009B1740"/>
    <w:rsid w:val="009C4414"/>
    <w:rsid w:val="009F1C61"/>
    <w:rsid w:val="00A071B2"/>
    <w:rsid w:val="00A10A1E"/>
    <w:rsid w:val="00A15449"/>
    <w:rsid w:val="00A20E48"/>
    <w:rsid w:val="00A23BF7"/>
    <w:rsid w:val="00A33BED"/>
    <w:rsid w:val="00A37CAC"/>
    <w:rsid w:val="00A40CF0"/>
    <w:rsid w:val="00A51624"/>
    <w:rsid w:val="00A8471E"/>
    <w:rsid w:val="00A85550"/>
    <w:rsid w:val="00A869CF"/>
    <w:rsid w:val="00AA41FA"/>
    <w:rsid w:val="00AB5748"/>
    <w:rsid w:val="00AC39FE"/>
    <w:rsid w:val="00AC6E40"/>
    <w:rsid w:val="00AC7877"/>
    <w:rsid w:val="00AC79C0"/>
    <w:rsid w:val="00AE11AA"/>
    <w:rsid w:val="00AE1602"/>
    <w:rsid w:val="00AE4434"/>
    <w:rsid w:val="00B01956"/>
    <w:rsid w:val="00B04B3C"/>
    <w:rsid w:val="00B15CA2"/>
    <w:rsid w:val="00B253DE"/>
    <w:rsid w:val="00B34D03"/>
    <w:rsid w:val="00B40C17"/>
    <w:rsid w:val="00B40FFE"/>
    <w:rsid w:val="00B426BF"/>
    <w:rsid w:val="00B514FA"/>
    <w:rsid w:val="00B77149"/>
    <w:rsid w:val="00BA419F"/>
    <w:rsid w:val="00BD3D72"/>
    <w:rsid w:val="00BD5906"/>
    <w:rsid w:val="00BE1AB0"/>
    <w:rsid w:val="00BE4CA6"/>
    <w:rsid w:val="00BF1D9B"/>
    <w:rsid w:val="00BF344D"/>
    <w:rsid w:val="00BF7BC1"/>
    <w:rsid w:val="00C045D0"/>
    <w:rsid w:val="00C04940"/>
    <w:rsid w:val="00C05291"/>
    <w:rsid w:val="00C06F68"/>
    <w:rsid w:val="00C07337"/>
    <w:rsid w:val="00C33713"/>
    <w:rsid w:val="00C34A08"/>
    <w:rsid w:val="00C3643B"/>
    <w:rsid w:val="00C4411D"/>
    <w:rsid w:val="00C44605"/>
    <w:rsid w:val="00C478C6"/>
    <w:rsid w:val="00C54FD0"/>
    <w:rsid w:val="00C6216B"/>
    <w:rsid w:val="00C677E6"/>
    <w:rsid w:val="00C70C03"/>
    <w:rsid w:val="00C851B7"/>
    <w:rsid w:val="00C92E97"/>
    <w:rsid w:val="00CA1ED2"/>
    <w:rsid w:val="00CA5461"/>
    <w:rsid w:val="00CA5DA0"/>
    <w:rsid w:val="00CB5BDD"/>
    <w:rsid w:val="00CC00E6"/>
    <w:rsid w:val="00CC61E0"/>
    <w:rsid w:val="00CD0E2C"/>
    <w:rsid w:val="00CD51CF"/>
    <w:rsid w:val="00D00EB0"/>
    <w:rsid w:val="00D02602"/>
    <w:rsid w:val="00D1560E"/>
    <w:rsid w:val="00D21A70"/>
    <w:rsid w:val="00D25543"/>
    <w:rsid w:val="00D332D3"/>
    <w:rsid w:val="00D40DD0"/>
    <w:rsid w:val="00D439DC"/>
    <w:rsid w:val="00D44902"/>
    <w:rsid w:val="00D548D5"/>
    <w:rsid w:val="00D558A0"/>
    <w:rsid w:val="00D603E3"/>
    <w:rsid w:val="00D76DDD"/>
    <w:rsid w:val="00D826E3"/>
    <w:rsid w:val="00D85640"/>
    <w:rsid w:val="00DA059C"/>
    <w:rsid w:val="00DB5818"/>
    <w:rsid w:val="00DB7026"/>
    <w:rsid w:val="00DC38FF"/>
    <w:rsid w:val="00DC6964"/>
    <w:rsid w:val="00DC6D96"/>
    <w:rsid w:val="00DD02ED"/>
    <w:rsid w:val="00DD2ED2"/>
    <w:rsid w:val="00DE2A5C"/>
    <w:rsid w:val="00DF19AB"/>
    <w:rsid w:val="00E031C4"/>
    <w:rsid w:val="00E23D41"/>
    <w:rsid w:val="00E3237E"/>
    <w:rsid w:val="00E375AF"/>
    <w:rsid w:val="00E419D8"/>
    <w:rsid w:val="00E42D88"/>
    <w:rsid w:val="00E52022"/>
    <w:rsid w:val="00E81975"/>
    <w:rsid w:val="00E8728B"/>
    <w:rsid w:val="00E90888"/>
    <w:rsid w:val="00E97692"/>
    <w:rsid w:val="00EA603C"/>
    <w:rsid w:val="00EA610A"/>
    <w:rsid w:val="00EB67C8"/>
    <w:rsid w:val="00ED623E"/>
    <w:rsid w:val="00EE4A66"/>
    <w:rsid w:val="00EE5FC3"/>
    <w:rsid w:val="00EF5CF8"/>
    <w:rsid w:val="00F144DE"/>
    <w:rsid w:val="00F2304C"/>
    <w:rsid w:val="00F26DA4"/>
    <w:rsid w:val="00F36670"/>
    <w:rsid w:val="00F422A3"/>
    <w:rsid w:val="00F45FFF"/>
    <w:rsid w:val="00F55279"/>
    <w:rsid w:val="00F644C5"/>
    <w:rsid w:val="00F67A0B"/>
    <w:rsid w:val="00F8327A"/>
    <w:rsid w:val="00F86E3D"/>
    <w:rsid w:val="00F95B64"/>
    <w:rsid w:val="00FA4399"/>
    <w:rsid w:val="00FB0935"/>
    <w:rsid w:val="00FB7A05"/>
    <w:rsid w:val="00FC091E"/>
    <w:rsid w:val="00FC5970"/>
    <w:rsid w:val="00FD002A"/>
    <w:rsid w:val="00FD0A1C"/>
    <w:rsid w:val="00FD1BFB"/>
    <w:rsid w:val="00FE516D"/>
    <w:rsid w:val="00FE529C"/>
    <w:rsid w:val="00FF0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4C5"/>
    <w:rPr>
      <w:rFonts w:ascii="Arial" w:hAnsi="Arial"/>
      <w:sz w:val="28"/>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link w:val="Heading3Char"/>
    <w:qFormat/>
    <w:pPr>
      <w:keepNext/>
      <w:outlineLvl w:val="2"/>
    </w:pPr>
    <w:rPr>
      <w:b/>
      <w:sz w:val="3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ListBullet">
    <w:name w:val="List Bullet"/>
    <w:basedOn w:val="Normal"/>
    <w:pPr>
      <w:numPr>
        <w:numId w:val="2"/>
      </w:numPr>
    </w:pPr>
  </w:style>
  <w:style w:type="paragraph" w:styleId="ListNumber">
    <w:name w:val="List Number"/>
    <w:basedOn w:val="Normal"/>
    <w:pPr>
      <w:numPr>
        <w:numId w:val="4"/>
      </w:numPr>
    </w:pPr>
  </w:style>
  <w:style w:type="paragraph" w:styleId="Quote">
    <w:name w:val="Quote"/>
    <w:basedOn w:val="Normal"/>
    <w:qFormat/>
    <w:pPr>
      <w:ind w:left="794" w:right="794"/>
    </w:pPr>
  </w:style>
  <w:style w:type="paragraph" w:customStyle="1" w:styleId="Subheading">
    <w:name w:val="Subheading"/>
    <w:basedOn w:val="Normal"/>
    <w:next w:val="Normal"/>
    <w:pPr>
      <w:keepNext/>
    </w:pPr>
    <w:rPr>
      <w:b/>
    </w:rPr>
  </w:style>
  <w:style w:type="paragraph" w:styleId="Subtitle">
    <w:name w:val="Subtitle"/>
    <w:basedOn w:val="Normal"/>
    <w:next w:val="Normal"/>
    <w:qFormat/>
    <w:pPr>
      <w:keepNext/>
    </w:pPr>
    <w:rPr>
      <w:sz w:val="32"/>
    </w:rPr>
  </w:style>
  <w:style w:type="paragraph" w:styleId="TableofFigures">
    <w:name w:val="table of figures"/>
    <w:basedOn w:val="Normal"/>
    <w:next w:val="Normal"/>
    <w:semiHidden/>
    <w:pPr>
      <w:ind w:left="560" w:hanging="560"/>
    </w:pPr>
  </w:style>
  <w:style w:type="paragraph" w:styleId="Title">
    <w:name w:val="Title"/>
    <w:basedOn w:val="Normal"/>
    <w:next w:val="Normal"/>
    <w:qFormat/>
    <w:pPr>
      <w:keepNext/>
      <w:outlineLvl w:val="0"/>
    </w:pPr>
    <w:rPr>
      <w:b/>
      <w:sz w:val="4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rsid w:val="000B3EBC"/>
  </w:style>
  <w:style w:type="character" w:styleId="Hyperlink">
    <w:name w:val="Hyperlink"/>
    <w:rsid w:val="00EB67C8"/>
    <w:rPr>
      <w:color w:val="0000FF"/>
      <w:u w:val="single"/>
    </w:rPr>
  </w:style>
  <w:style w:type="character" w:styleId="FollowedHyperlink">
    <w:name w:val="FollowedHyperlink"/>
    <w:rsid w:val="00EB67C8"/>
    <w:rPr>
      <w:color w:val="800080"/>
      <w:u w:val="single"/>
    </w:rPr>
  </w:style>
  <w:style w:type="paragraph" w:customStyle="1" w:styleId="Default">
    <w:name w:val="Default"/>
    <w:rsid w:val="00EB67C8"/>
    <w:pPr>
      <w:autoSpaceDE w:val="0"/>
      <w:autoSpaceDN w:val="0"/>
      <w:adjustRightInd w:val="0"/>
    </w:pPr>
    <w:rPr>
      <w:rFonts w:ascii="Arial" w:hAnsi="Arial" w:cs="Arial"/>
      <w:color w:val="000000"/>
      <w:sz w:val="24"/>
      <w:szCs w:val="24"/>
    </w:rPr>
  </w:style>
  <w:style w:type="paragraph" w:customStyle="1" w:styleId="CoverTitle">
    <w:name w:val="Cover Title"/>
    <w:basedOn w:val="Default"/>
    <w:next w:val="Default"/>
    <w:rsid w:val="00EB67C8"/>
    <w:rPr>
      <w:rFonts w:cs="Times New Roman"/>
      <w:color w:val="auto"/>
    </w:rPr>
  </w:style>
  <w:style w:type="character" w:customStyle="1" w:styleId="Heading3Char">
    <w:name w:val="Heading 3 Char"/>
    <w:link w:val="Heading3"/>
    <w:rsid w:val="00FB0935"/>
    <w:rPr>
      <w:rFonts w:ascii="Arial" w:hAnsi="Arial"/>
      <w:b/>
      <w:sz w:val="32"/>
      <w:lang w:val="en-GB" w:eastAsia="en-GB" w:bidi="ar-SA"/>
    </w:rPr>
  </w:style>
  <w:style w:type="table" w:styleId="TableGrid">
    <w:name w:val="Table Grid"/>
    <w:basedOn w:val="TableNormal"/>
    <w:rsid w:val="00FF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A5461"/>
    <w:rPr>
      <w:rFonts w:ascii="Arial" w:hAnsi="Arial"/>
      <w:sz w:val="28"/>
    </w:rPr>
  </w:style>
  <w:style w:type="paragraph" w:styleId="DocumentMap">
    <w:name w:val="Document Map"/>
    <w:basedOn w:val="Normal"/>
    <w:link w:val="DocumentMapChar"/>
    <w:rsid w:val="008746C6"/>
    <w:rPr>
      <w:rFonts w:ascii="Tahoma" w:hAnsi="Tahoma" w:cs="Tahoma"/>
      <w:sz w:val="16"/>
      <w:szCs w:val="16"/>
    </w:rPr>
  </w:style>
  <w:style w:type="character" w:customStyle="1" w:styleId="DocumentMapChar">
    <w:name w:val="Document Map Char"/>
    <w:basedOn w:val="DefaultParagraphFont"/>
    <w:link w:val="DocumentMap"/>
    <w:rsid w:val="008746C6"/>
    <w:rPr>
      <w:rFonts w:ascii="Tahoma" w:hAnsi="Tahoma" w:cs="Tahoma"/>
      <w:sz w:val="16"/>
      <w:szCs w:val="16"/>
    </w:rPr>
  </w:style>
  <w:style w:type="paragraph" w:styleId="ListParagraph">
    <w:name w:val="List Paragraph"/>
    <w:basedOn w:val="Normal"/>
    <w:uiPriority w:val="34"/>
    <w:qFormat/>
    <w:rsid w:val="002A761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4C5"/>
    <w:rPr>
      <w:rFonts w:ascii="Arial" w:hAnsi="Arial"/>
      <w:sz w:val="28"/>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link w:val="Heading3Char"/>
    <w:qFormat/>
    <w:pPr>
      <w:keepNext/>
      <w:outlineLvl w:val="2"/>
    </w:pPr>
    <w:rPr>
      <w:b/>
      <w:sz w:val="3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ListBullet">
    <w:name w:val="List Bullet"/>
    <w:basedOn w:val="Normal"/>
    <w:pPr>
      <w:numPr>
        <w:numId w:val="2"/>
      </w:numPr>
    </w:pPr>
  </w:style>
  <w:style w:type="paragraph" w:styleId="ListNumber">
    <w:name w:val="List Number"/>
    <w:basedOn w:val="Normal"/>
    <w:pPr>
      <w:numPr>
        <w:numId w:val="4"/>
      </w:numPr>
    </w:pPr>
  </w:style>
  <w:style w:type="paragraph" w:styleId="Quote">
    <w:name w:val="Quote"/>
    <w:basedOn w:val="Normal"/>
    <w:qFormat/>
    <w:pPr>
      <w:ind w:left="794" w:right="794"/>
    </w:pPr>
  </w:style>
  <w:style w:type="paragraph" w:customStyle="1" w:styleId="Subheading">
    <w:name w:val="Subheading"/>
    <w:basedOn w:val="Normal"/>
    <w:next w:val="Normal"/>
    <w:pPr>
      <w:keepNext/>
    </w:pPr>
    <w:rPr>
      <w:b/>
    </w:rPr>
  </w:style>
  <w:style w:type="paragraph" w:styleId="Subtitle">
    <w:name w:val="Subtitle"/>
    <w:basedOn w:val="Normal"/>
    <w:next w:val="Normal"/>
    <w:qFormat/>
    <w:pPr>
      <w:keepNext/>
    </w:pPr>
    <w:rPr>
      <w:sz w:val="32"/>
    </w:rPr>
  </w:style>
  <w:style w:type="paragraph" w:styleId="TableofFigures">
    <w:name w:val="table of figures"/>
    <w:basedOn w:val="Normal"/>
    <w:next w:val="Normal"/>
    <w:semiHidden/>
    <w:pPr>
      <w:ind w:left="560" w:hanging="560"/>
    </w:pPr>
  </w:style>
  <w:style w:type="paragraph" w:styleId="Title">
    <w:name w:val="Title"/>
    <w:basedOn w:val="Normal"/>
    <w:next w:val="Normal"/>
    <w:qFormat/>
    <w:pPr>
      <w:keepNext/>
      <w:outlineLvl w:val="0"/>
    </w:pPr>
    <w:rPr>
      <w:b/>
      <w:sz w:val="4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rsid w:val="000B3EBC"/>
  </w:style>
  <w:style w:type="character" w:styleId="Hyperlink">
    <w:name w:val="Hyperlink"/>
    <w:rsid w:val="00EB67C8"/>
    <w:rPr>
      <w:color w:val="0000FF"/>
      <w:u w:val="single"/>
    </w:rPr>
  </w:style>
  <w:style w:type="character" w:styleId="FollowedHyperlink">
    <w:name w:val="FollowedHyperlink"/>
    <w:rsid w:val="00EB67C8"/>
    <w:rPr>
      <w:color w:val="800080"/>
      <w:u w:val="single"/>
    </w:rPr>
  </w:style>
  <w:style w:type="paragraph" w:customStyle="1" w:styleId="Default">
    <w:name w:val="Default"/>
    <w:rsid w:val="00EB67C8"/>
    <w:pPr>
      <w:autoSpaceDE w:val="0"/>
      <w:autoSpaceDN w:val="0"/>
      <w:adjustRightInd w:val="0"/>
    </w:pPr>
    <w:rPr>
      <w:rFonts w:ascii="Arial" w:hAnsi="Arial" w:cs="Arial"/>
      <w:color w:val="000000"/>
      <w:sz w:val="24"/>
      <w:szCs w:val="24"/>
    </w:rPr>
  </w:style>
  <w:style w:type="paragraph" w:customStyle="1" w:styleId="CoverTitle">
    <w:name w:val="Cover Title"/>
    <w:basedOn w:val="Default"/>
    <w:next w:val="Default"/>
    <w:rsid w:val="00EB67C8"/>
    <w:rPr>
      <w:rFonts w:cs="Times New Roman"/>
      <w:color w:val="auto"/>
    </w:rPr>
  </w:style>
  <w:style w:type="character" w:customStyle="1" w:styleId="Heading3Char">
    <w:name w:val="Heading 3 Char"/>
    <w:link w:val="Heading3"/>
    <w:rsid w:val="00FB0935"/>
    <w:rPr>
      <w:rFonts w:ascii="Arial" w:hAnsi="Arial"/>
      <w:b/>
      <w:sz w:val="32"/>
      <w:lang w:val="en-GB" w:eastAsia="en-GB" w:bidi="ar-SA"/>
    </w:rPr>
  </w:style>
  <w:style w:type="table" w:styleId="TableGrid">
    <w:name w:val="Table Grid"/>
    <w:basedOn w:val="TableNormal"/>
    <w:rsid w:val="00FF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A5461"/>
    <w:rPr>
      <w:rFonts w:ascii="Arial" w:hAnsi="Arial"/>
      <w:sz w:val="28"/>
    </w:rPr>
  </w:style>
  <w:style w:type="paragraph" w:styleId="DocumentMap">
    <w:name w:val="Document Map"/>
    <w:basedOn w:val="Normal"/>
    <w:link w:val="DocumentMapChar"/>
    <w:rsid w:val="008746C6"/>
    <w:rPr>
      <w:rFonts w:ascii="Tahoma" w:hAnsi="Tahoma" w:cs="Tahoma"/>
      <w:sz w:val="16"/>
      <w:szCs w:val="16"/>
    </w:rPr>
  </w:style>
  <w:style w:type="character" w:customStyle="1" w:styleId="DocumentMapChar">
    <w:name w:val="Document Map Char"/>
    <w:basedOn w:val="DefaultParagraphFont"/>
    <w:link w:val="DocumentMap"/>
    <w:rsid w:val="008746C6"/>
    <w:rPr>
      <w:rFonts w:ascii="Tahoma" w:hAnsi="Tahoma" w:cs="Tahoma"/>
      <w:sz w:val="16"/>
      <w:szCs w:val="16"/>
    </w:rPr>
  </w:style>
  <w:style w:type="paragraph" w:styleId="ListParagraph">
    <w:name w:val="List Paragraph"/>
    <w:basedOn w:val="Normal"/>
    <w:uiPriority w:val="34"/>
    <w:qFormat/>
    <w:rsid w:val="002A76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90257">
      <w:bodyDiv w:val="1"/>
      <w:marLeft w:val="0"/>
      <w:marRight w:val="0"/>
      <w:marTop w:val="0"/>
      <w:marBottom w:val="0"/>
      <w:divBdr>
        <w:top w:val="none" w:sz="0" w:space="0" w:color="auto"/>
        <w:left w:val="none" w:sz="0" w:space="0" w:color="auto"/>
        <w:bottom w:val="none" w:sz="0" w:space="0" w:color="auto"/>
        <w:right w:val="none" w:sz="0" w:space="0" w:color="auto"/>
      </w:divBdr>
    </w:div>
    <w:div w:id="378166641">
      <w:bodyDiv w:val="1"/>
      <w:marLeft w:val="0"/>
      <w:marRight w:val="0"/>
      <w:marTop w:val="0"/>
      <w:marBottom w:val="0"/>
      <w:divBdr>
        <w:top w:val="none" w:sz="0" w:space="0" w:color="auto"/>
        <w:left w:val="none" w:sz="0" w:space="0" w:color="auto"/>
        <w:bottom w:val="none" w:sz="0" w:space="0" w:color="auto"/>
        <w:right w:val="none" w:sz="0" w:space="0" w:color="auto"/>
      </w:divBdr>
    </w:div>
    <w:div w:id="425347030">
      <w:bodyDiv w:val="1"/>
      <w:marLeft w:val="0"/>
      <w:marRight w:val="0"/>
      <w:marTop w:val="0"/>
      <w:marBottom w:val="0"/>
      <w:divBdr>
        <w:top w:val="none" w:sz="0" w:space="0" w:color="auto"/>
        <w:left w:val="none" w:sz="0" w:space="0" w:color="auto"/>
        <w:bottom w:val="none" w:sz="0" w:space="0" w:color="auto"/>
        <w:right w:val="none" w:sz="0" w:space="0" w:color="auto"/>
      </w:divBdr>
    </w:div>
    <w:div w:id="1361785173">
      <w:bodyDiv w:val="1"/>
      <w:marLeft w:val="0"/>
      <w:marRight w:val="0"/>
      <w:marTop w:val="0"/>
      <w:marBottom w:val="0"/>
      <w:divBdr>
        <w:top w:val="none" w:sz="0" w:space="0" w:color="auto"/>
        <w:left w:val="none" w:sz="0" w:space="0" w:color="auto"/>
        <w:bottom w:val="none" w:sz="0" w:space="0" w:color="auto"/>
        <w:right w:val="none" w:sz="0" w:space="0" w:color="auto"/>
      </w:divBdr>
    </w:div>
    <w:div w:id="1752461033">
      <w:bodyDiv w:val="1"/>
      <w:marLeft w:val="0"/>
      <w:marRight w:val="0"/>
      <w:marTop w:val="0"/>
      <w:marBottom w:val="0"/>
      <w:divBdr>
        <w:top w:val="none" w:sz="0" w:space="0" w:color="auto"/>
        <w:left w:val="none" w:sz="0" w:space="0" w:color="auto"/>
        <w:bottom w:val="none" w:sz="0" w:space="0" w:color="auto"/>
        <w:right w:val="none" w:sz="0" w:space="0" w:color="auto"/>
      </w:divBdr>
    </w:div>
    <w:div w:id="1768455902">
      <w:bodyDiv w:val="1"/>
      <w:marLeft w:val="0"/>
      <w:marRight w:val="0"/>
      <w:marTop w:val="0"/>
      <w:marBottom w:val="0"/>
      <w:divBdr>
        <w:top w:val="none" w:sz="0" w:space="0" w:color="auto"/>
        <w:left w:val="none" w:sz="0" w:space="0" w:color="auto"/>
        <w:bottom w:val="none" w:sz="0" w:space="0" w:color="auto"/>
        <w:right w:val="none" w:sz="0" w:space="0" w:color="auto"/>
      </w:divBdr>
    </w:div>
    <w:div w:id="1840849275">
      <w:bodyDiv w:val="1"/>
      <w:marLeft w:val="0"/>
      <w:marRight w:val="0"/>
      <w:marTop w:val="0"/>
      <w:marBottom w:val="0"/>
      <w:divBdr>
        <w:top w:val="none" w:sz="0" w:space="0" w:color="auto"/>
        <w:left w:val="none" w:sz="0" w:space="0" w:color="auto"/>
        <w:bottom w:val="none" w:sz="0" w:space="0" w:color="auto"/>
        <w:right w:val="none" w:sz="0" w:space="0" w:color="auto"/>
      </w:divBdr>
    </w:div>
    <w:div w:id="20404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statistics/work-programme-statistical-summary-data-to-31-march-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hite\AppData\Roaming\Microsoft\Templates\PlainColour-Engl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5980B-1023-4FCB-A2BC-493CB60A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PlainColour-England.dot</Template>
  <TotalTime>0</TotalTime>
  <Pages>13</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DWP statistics relating to blind and partially sighted people of working age</vt:lpstr>
    </vt:vector>
  </TitlesOfParts>
  <Company>RNIB</Company>
  <LinksUpToDate>false</LinksUpToDate>
  <CharactersWithSpaces>15769</CharactersWithSpaces>
  <SharedDoc>false</SharedDoc>
  <HLinks>
    <vt:vector size="6" baseType="variant">
      <vt:variant>
        <vt:i4>5570569</vt:i4>
      </vt:variant>
      <vt:variant>
        <vt:i4>0</vt:i4>
      </vt:variant>
      <vt:variant>
        <vt:i4>0</vt:i4>
      </vt:variant>
      <vt:variant>
        <vt:i4>5</vt:i4>
      </vt:variant>
      <vt:variant>
        <vt:lpwstr>https://www.gov.uk/government/statistics/work-programme-statistical-summary-data-to-31-march-2015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DWP statistics relating to blind and partially sighted people of working age</dc:title>
  <dc:creator>SKeil</dc:creator>
  <cp:lastModifiedBy>awhite</cp:lastModifiedBy>
  <cp:revision>2</cp:revision>
  <cp:lastPrinted>2016-04-06T13:31:00Z</cp:lastPrinted>
  <dcterms:created xsi:type="dcterms:W3CDTF">2016-05-17T11:30:00Z</dcterms:created>
  <dcterms:modified xsi:type="dcterms:W3CDTF">2016-05-17T11:30:00Z</dcterms:modified>
</cp:coreProperties>
</file>