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1D351" w14:textId="52A2FC24" w:rsidR="008442C3" w:rsidRDefault="008442C3" w:rsidP="008442C3">
      <w:pPr>
        <w:pStyle w:val="Heading1"/>
      </w:pPr>
      <w:bookmarkStart w:id="0" w:name="_Toc15068192"/>
      <w:bookmarkStart w:id="1" w:name="_Toc17362699"/>
      <w:bookmarkStart w:id="2" w:name="_Toc17362847"/>
      <w:bookmarkStart w:id="3" w:name="_Toc17362922"/>
      <w:bookmarkStart w:id="4" w:name="_Toc18573821"/>
      <w:bookmarkStart w:id="5" w:name="_Toc19300773"/>
      <w:bookmarkStart w:id="6" w:name="_Toc61362732"/>
      <w:bookmarkStart w:id="7" w:name="_Toc63761414"/>
      <w:bookmarkStart w:id="8" w:name="_Hlk15456359"/>
      <w:r>
        <w:t>Left out of Learning: L</w:t>
      </w:r>
      <w:r w:rsidRPr="004000C2">
        <w:t>ocal authority education provision for children and young people with vi</w:t>
      </w:r>
      <w:r>
        <w:t>sion impairment in England: 20</w:t>
      </w:r>
      <w:bookmarkEnd w:id="0"/>
      <w:bookmarkEnd w:id="1"/>
      <w:bookmarkEnd w:id="2"/>
      <w:bookmarkEnd w:id="3"/>
      <w:bookmarkEnd w:id="4"/>
      <w:bookmarkEnd w:id="5"/>
      <w:r>
        <w:t>20</w:t>
      </w:r>
      <w:bookmarkEnd w:id="6"/>
      <w:bookmarkEnd w:id="7"/>
    </w:p>
    <w:bookmarkEnd w:id="8"/>
    <w:p w14:paraId="31F4B19A" w14:textId="7EC6A64F" w:rsidR="008442C3" w:rsidRDefault="008442C3" w:rsidP="008442C3">
      <w:r>
        <w:t>January 2021</w:t>
      </w:r>
    </w:p>
    <w:p w14:paraId="134E3F5C" w14:textId="77777777" w:rsidR="008442C3" w:rsidRDefault="008442C3" w:rsidP="008442C3"/>
    <w:p w14:paraId="3BE15ACE" w14:textId="7716E1AD" w:rsidR="008442C3" w:rsidRDefault="008442C3" w:rsidP="008442C3">
      <w:r>
        <w:t xml:space="preserve">Authors: Jaspreet Bhangoo and Emma Edwards </w:t>
      </w:r>
    </w:p>
    <w:p w14:paraId="4F655505" w14:textId="1A2EFF58" w:rsidR="008442C3" w:rsidRDefault="008442C3" w:rsidP="008442C3">
      <w:r>
        <w:t>With contributions from: Caireen Sutherland; Sarah Holton</w:t>
      </w:r>
    </w:p>
    <w:p w14:paraId="7D7B85E4" w14:textId="77777777" w:rsidR="008442C3" w:rsidRDefault="008442C3" w:rsidP="008442C3"/>
    <w:p w14:paraId="61784B25" w14:textId="1AC8334F" w:rsidR="00BA09BE" w:rsidRDefault="008442C3" w:rsidP="008442C3">
      <w:pPr>
        <w:pStyle w:val="Heading1"/>
        <w:rPr>
          <w:noProof/>
        </w:rPr>
      </w:pPr>
      <w:bookmarkStart w:id="9" w:name="_Toc15068193"/>
      <w:bookmarkStart w:id="10" w:name="_Toc17362700"/>
      <w:bookmarkStart w:id="11" w:name="_Toc17362848"/>
      <w:bookmarkStart w:id="12" w:name="_Toc17362923"/>
      <w:bookmarkStart w:id="13" w:name="_Toc18573822"/>
      <w:bookmarkStart w:id="14" w:name="_Toc19300774"/>
      <w:bookmarkStart w:id="15" w:name="_Toc63761415"/>
      <w:r>
        <w:t>Contents</w:t>
      </w:r>
      <w:bookmarkEnd w:id="9"/>
      <w:bookmarkEnd w:id="10"/>
      <w:bookmarkEnd w:id="11"/>
      <w:bookmarkEnd w:id="12"/>
      <w:bookmarkEnd w:id="13"/>
      <w:bookmarkEnd w:id="14"/>
      <w:bookmarkEnd w:id="15"/>
      <w:r>
        <w:rPr>
          <w:sz w:val="36"/>
        </w:rPr>
        <w:fldChar w:fldCharType="begin"/>
      </w:r>
      <w:r>
        <w:rPr>
          <w:sz w:val="36"/>
        </w:rPr>
        <w:instrText xml:space="preserve"> TOC \o "1-2" \h \z \u </w:instrText>
      </w:r>
      <w:r>
        <w:rPr>
          <w:sz w:val="36"/>
        </w:rPr>
        <w:fldChar w:fldCharType="separate"/>
      </w:r>
    </w:p>
    <w:p w14:paraId="31FE49CE" w14:textId="3AEF4390" w:rsidR="00BA09BE" w:rsidRDefault="001A0AE9">
      <w:pPr>
        <w:pStyle w:val="TOC1"/>
        <w:rPr>
          <w:rFonts w:asciiTheme="minorHAnsi" w:eastAsiaTheme="minorEastAsia" w:hAnsiTheme="minorHAnsi" w:cstheme="minorBidi"/>
          <w:noProof/>
          <w:sz w:val="22"/>
          <w:szCs w:val="22"/>
          <w:lang w:eastAsia="en-GB"/>
        </w:rPr>
      </w:pPr>
      <w:hyperlink w:anchor="_Toc63761416" w:history="1">
        <w:r w:rsidR="00BA09BE" w:rsidRPr="00443DF3">
          <w:rPr>
            <w:rStyle w:val="Hyperlink"/>
            <w:noProof/>
          </w:rPr>
          <w:t>i. Glossary</w:t>
        </w:r>
        <w:r w:rsidR="00BA09BE">
          <w:rPr>
            <w:noProof/>
            <w:webHidden/>
          </w:rPr>
          <w:tab/>
        </w:r>
        <w:r w:rsidR="00BA09BE">
          <w:rPr>
            <w:noProof/>
            <w:webHidden/>
          </w:rPr>
          <w:fldChar w:fldCharType="begin"/>
        </w:r>
        <w:r w:rsidR="00BA09BE">
          <w:rPr>
            <w:noProof/>
            <w:webHidden/>
          </w:rPr>
          <w:instrText xml:space="preserve"> PAGEREF _Toc63761416 \h </w:instrText>
        </w:r>
        <w:r w:rsidR="00BA09BE">
          <w:rPr>
            <w:noProof/>
            <w:webHidden/>
          </w:rPr>
        </w:r>
        <w:r w:rsidR="00BA09BE">
          <w:rPr>
            <w:noProof/>
            <w:webHidden/>
          </w:rPr>
          <w:fldChar w:fldCharType="separate"/>
        </w:r>
        <w:r w:rsidR="00BA09BE">
          <w:rPr>
            <w:noProof/>
            <w:webHidden/>
          </w:rPr>
          <w:t>2</w:t>
        </w:r>
        <w:r w:rsidR="00BA09BE">
          <w:rPr>
            <w:noProof/>
            <w:webHidden/>
          </w:rPr>
          <w:fldChar w:fldCharType="end"/>
        </w:r>
      </w:hyperlink>
    </w:p>
    <w:p w14:paraId="036221CE" w14:textId="5787C410" w:rsidR="00BA09BE" w:rsidRDefault="001A0AE9">
      <w:pPr>
        <w:pStyle w:val="TOC1"/>
        <w:rPr>
          <w:rFonts w:asciiTheme="minorHAnsi" w:eastAsiaTheme="minorEastAsia" w:hAnsiTheme="minorHAnsi" w:cstheme="minorBidi"/>
          <w:noProof/>
          <w:sz w:val="22"/>
          <w:szCs w:val="22"/>
          <w:lang w:eastAsia="en-GB"/>
        </w:rPr>
      </w:pPr>
      <w:hyperlink w:anchor="_Toc63761417" w:history="1">
        <w:r w:rsidR="00BA09BE" w:rsidRPr="00443DF3">
          <w:rPr>
            <w:rStyle w:val="Hyperlink"/>
            <w:noProof/>
          </w:rPr>
          <w:t>1. Introduction</w:t>
        </w:r>
        <w:r w:rsidR="00BA09BE">
          <w:rPr>
            <w:noProof/>
            <w:webHidden/>
          </w:rPr>
          <w:tab/>
        </w:r>
        <w:r w:rsidR="00BA09BE">
          <w:rPr>
            <w:noProof/>
            <w:webHidden/>
          </w:rPr>
          <w:fldChar w:fldCharType="begin"/>
        </w:r>
        <w:r w:rsidR="00BA09BE">
          <w:rPr>
            <w:noProof/>
            <w:webHidden/>
          </w:rPr>
          <w:instrText xml:space="preserve"> PAGEREF _Toc63761417 \h </w:instrText>
        </w:r>
        <w:r w:rsidR="00BA09BE">
          <w:rPr>
            <w:noProof/>
            <w:webHidden/>
          </w:rPr>
        </w:r>
        <w:r w:rsidR="00BA09BE">
          <w:rPr>
            <w:noProof/>
            <w:webHidden/>
          </w:rPr>
          <w:fldChar w:fldCharType="separate"/>
        </w:r>
        <w:r w:rsidR="00BA09BE">
          <w:rPr>
            <w:noProof/>
            <w:webHidden/>
          </w:rPr>
          <w:t>3</w:t>
        </w:r>
        <w:r w:rsidR="00BA09BE">
          <w:rPr>
            <w:noProof/>
            <w:webHidden/>
          </w:rPr>
          <w:fldChar w:fldCharType="end"/>
        </w:r>
      </w:hyperlink>
    </w:p>
    <w:p w14:paraId="66B797A0" w14:textId="3E357DDA" w:rsidR="00BA09BE" w:rsidRDefault="001A0AE9">
      <w:pPr>
        <w:pStyle w:val="TOC1"/>
        <w:rPr>
          <w:rFonts w:asciiTheme="minorHAnsi" w:eastAsiaTheme="minorEastAsia" w:hAnsiTheme="minorHAnsi" w:cstheme="minorBidi"/>
          <w:noProof/>
          <w:sz w:val="22"/>
          <w:szCs w:val="22"/>
          <w:lang w:eastAsia="en-GB"/>
        </w:rPr>
      </w:pPr>
      <w:hyperlink w:anchor="_Toc63761418" w:history="1">
        <w:r w:rsidR="00BA09BE" w:rsidRPr="00443DF3">
          <w:rPr>
            <w:rStyle w:val="Hyperlink"/>
            <w:noProof/>
          </w:rPr>
          <w:t>2. Key findings</w:t>
        </w:r>
        <w:r w:rsidR="00BA09BE">
          <w:rPr>
            <w:noProof/>
            <w:webHidden/>
          </w:rPr>
          <w:tab/>
        </w:r>
        <w:r w:rsidR="00BA09BE">
          <w:rPr>
            <w:noProof/>
            <w:webHidden/>
          </w:rPr>
          <w:fldChar w:fldCharType="begin"/>
        </w:r>
        <w:r w:rsidR="00BA09BE">
          <w:rPr>
            <w:noProof/>
            <w:webHidden/>
          </w:rPr>
          <w:instrText xml:space="preserve"> PAGEREF _Toc63761418 \h </w:instrText>
        </w:r>
        <w:r w:rsidR="00BA09BE">
          <w:rPr>
            <w:noProof/>
            <w:webHidden/>
          </w:rPr>
        </w:r>
        <w:r w:rsidR="00BA09BE">
          <w:rPr>
            <w:noProof/>
            <w:webHidden/>
          </w:rPr>
          <w:fldChar w:fldCharType="separate"/>
        </w:r>
        <w:r w:rsidR="00BA09BE">
          <w:rPr>
            <w:noProof/>
            <w:webHidden/>
          </w:rPr>
          <w:t>3</w:t>
        </w:r>
        <w:r w:rsidR="00BA09BE">
          <w:rPr>
            <w:noProof/>
            <w:webHidden/>
          </w:rPr>
          <w:fldChar w:fldCharType="end"/>
        </w:r>
      </w:hyperlink>
    </w:p>
    <w:p w14:paraId="2C40D361" w14:textId="296CC967" w:rsidR="00BA09BE" w:rsidRDefault="001A0AE9">
      <w:pPr>
        <w:pStyle w:val="TOC1"/>
        <w:rPr>
          <w:rFonts w:asciiTheme="minorHAnsi" w:eastAsiaTheme="minorEastAsia" w:hAnsiTheme="minorHAnsi" w:cstheme="minorBidi"/>
          <w:noProof/>
          <w:sz w:val="22"/>
          <w:szCs w:val="22"/>
          <w:lang w:eastAsia="en-GB"/>
        </w:rPr>
      </w:pPr>
      <w:hyperlink w:anchor="_Toc63761419" w:history="1">
        <w:r w:rsidR="00BA09BE" w:rsidRPr="00443DF3">
          <w:rPr>
            <w:rStyle w:val="Hyperlink"/>
            <w:noProof/>
          </w:rPr>
          <w:t>3. Method</w:t>
        </w:r>
        <w:r w:rsidR="00BA09BE">
          <w:rPr>
            <w:noProof/>
            <w:webHidden/>
          </w:rPr>
          <w:tab/>
        </w:r>
        <w:r w:rsidR="00BA09BE">
          <w:rPr>
            <w:noProof/>
            <w:webHidden/>
          </w:rPr>
          <w:fldChar w:fldCharType="begin"/>
        </w:r>
        <w:r w:rsidR="00BA09BE">
          <w:rPr>
            <w:noProof/>
            <w:webHidden/>
          </w:rPr>
          <w:instrText xml:space="preserve"> PAGEREF _Toc63761419 \h </w:instrText>
        </w:r>
        <w:r w:rsidR="00BA09BE">
          <w:rPr>
            <w:noProof/>
            <w:webHidden/>
          </w:rPr>
        </w:r>
        <w:r w:rsidR="00BA09BE">
          <w:rPr>
            <w:noProof/>
            <w:webHidden/>
          </w:rPr>
          <w:fldChar w:fldCharType="separate"/>
        </w:r>
        <w:r w:rsidR="00BA09BE">
          <w:rPr>
            <w:noProof/>
            <w:webHidden/>
          </w:rPr>
          <w:t>4</w:t>
        </w:r>
        <w:r w:rsidR="00BA09BE">
          <w:rPr>
            <w:noProof/>
            <w:webHidden/>
          </w:rPr>
          <w:fldChar w:fldCharType="end"/>
        </w:r>
      </w:hyperlink>
    </w:p>
    <w:p w14:paraId="4DFA0C8D" w14:textId="39C05E31" w:rsidR="00BA09BE" w:rsidRDefault="001A0AE9">
      <w:pPr>
        <w:pStyle w:val="TOC1"/>
        <w:rPr>
          <w:rFonts w:asciiTheme="minorHAnsi" w:eastAsiaTheme="minorEastAsia" w:hAnsiTheme="minorHAnsi" w:cstheme="minorBidi"/>
          <w:noProof/>
          <w:sz w:val="22"/>
          <w:szCs w:val="22"/>
          <w:lang w:eastAsia="en-GB"/>
        </w:rPr>
      </w:pPr>
      <w:hyperlink w:anchor="_Toc63761420" w:history="1">
        <w:r w:rsidR="00BA09BE" w:rsidRPr="00443DF3">
          <w:rPr>
            <w:rStyle w:val="Hyperlink"/>
            <w:noProof/>
          </w:rPr>
          <w:t>4. Findings</w:t>
        </w:r>
        <w:r w:rsidR="00BA09BE">
          <w:rPr>
            <w:noProof/>
            <w:webHidden/>
          </w:rPr>
          <w:tab/>
        </w:r>
        <w:r w:rsidR="00BA09BE">
          <w:rPr>
            <w:noProof/>
            <w:webHidden/>
          </w:rPr>
          <w:fldChar w:fldCharType="begin"/>
        </w:r>
        <w:r w:rsidR="00BA09BE">
          <w:rPr>
            <w:noProof/>
            <w:webHidden/>
          </w:rPr>
          <w:instrText xml:space="preserve"> PAGEREF _Toc63761420 \h </w:instrText>
        </w:r>
        <w:r w:rsidR="00BA09BE">
          <w:rPr>
            <w:noProof/>
            <w:webHidden/>
          </w:rPr>
        </w:r>
        <w:r w:rsidR="00BA09BE">
          <w:rPr>
            <w:noProof/>
            <w:webHidden/>
          </w:rPr>
          <w:fldChar w:fldCharType="separate"/>
        </w:r>
        <w:r w:rsidR="00BA09BE">
          <w:rPr>
            <w:noProof/>
            <w:webHidden/>
          </w:rPr>
          <w:t>4</w:t>
        </w:r>
        <w:r w:rsidR="00BA09BE">
          <w:rPr>
            <w:noProof/>
            <w:webHidden/>
          </w:rPr>
          <w:fldChar w:fldCharType="end"/>
        </w:r>
      </w:hyperlink>
    </w:p>
    <w:p w14:paraId="0CC04EAC" w14:textId="6D08A1C9" w:rsidR="00BA09BE" w:rsidRDefault="001A0AE9">
      <w:pPr>
        <w:pStyle w:val="TOC2"/>
        <w:tabs>
          <w:tab w:val="right" w:leader="dot" w:pos="9016"/>
        </w:tabs>
        <w:rPr>
          <w:rFonts w:asciiTheme="minorHAnsi" w:eastAsiaTheme="minorEastAsia" w:hAnsiTheme="minorHAnsi" w:cstheme="minorBidi"/>
          <w:noProof/>
          <w:sz w:val="22"/>
          <w:szCs w:val="22"/>
          <w:lang w:eastAsia="en-GB"/>
        </w:rPr>
      </w:pPr>
      <w:hyperlink w:anchor="_Toc63761421" w:history="1">
        <w:r w:rsidR="00BA09BE" w:rsidRPr="00443DF3">
          <w:rPr>
            <w:rStyle w:val="Hyperlink"/>
            <w:noProof/>
          </w:rPr>
          <w:t>4.1 Service provision and organisation</w:t>
        </w:r>
        <w:r w:rsidR="00BA09BE">
          <w:rPr>
            <w:noProof/>
            <w:webHidden/>
          </w:rPr>
          <w:tab/>
        </w:r>
        <w:r w:rsidR="00BA09BE">
          <w:rPr>
            <w:noProof/>
            <w:webHidden/>
          </w:rPr>
          <w:fldChar w:fldCharType="begin"/>
        </w:r>
        <w:r w:rsidR="00BA09BE">
          <w:rPr>
            <w:noProof/>
            <w:webHidden/>
          </w:rPr>
          <w:instrText xml:space="preserve"> PAGEREF _Toc63761421 \h </w:instrText>
        </w:r>
        <w:r w:rsidR="00BA09BE">
          <w:rPr>
            <w:noProof/>
            <w:webHidden/>
          </w:rPr>
        </w:r>
        <w:r w:rsidR="00BA09BE">
          <w:rPr>
            <w:noProof/>
            <w:webHidden/>
          </w:rPr>
          <w:fldChar w:fldCharType="separate"/>
        </w:r>
        <w:r w:rsidR="00BA09BE">
          <w:rPr>
            <w:noProof/>
            <w:webHidden/>
          </w:rPr>
          <w:t>4</w:t>
        </w:r>
        <w:r w:rsidR="00BA09BE">
          <w:rPr>
            <w:noProof/>
            <w:webHidden/>
          </w:rPr>
          <w:fldChar w:fldCharType="end"/>
        </w:r>
      </w:hyperlink>
    </w:p>
    <w:p w14:paraId="4896E0F8" w14:textId="54387D61" w:rsidR="00BA09BE" w:rsidRDefault="001A0AE9">
      <w:pPr>
        <w:pStyle w:val="TOC2"/>
        <w:tabs>
          <w:tab w:val="right" w:leader="dot" w:pos="9016"/>
        </w:tabs>
        <w:rPr>
          <w:rFonts w:asciiTheme="minorHAnsi" w:eastAsiaTheme="minorEastAsia" w:hAnsiTheme="minorHAnsi" w:cstheme="minorBidi"/>
          <w:noProof/>
          <w:sz w:val="22"/>
          <w:szCs w:val="22"/>
          <w:lang w:eastAsia="en-GB"/>
        </w:rPr>
      </w:pPr>
      <w:hyperlink w:anchor="_Toc63761422" w:history="1">
        <w:r w:rsidR="00BA09BE" w:rsidRPr="00443DF3">
          <w:rPr>
            <w:rStyle w:val="Hyperlink"/>
            <w:noProof/>
            <w:lang w:eastAsia="en-GB"/>
          </w:rPr>
          <w:t>4.2. Children and young people supported by the service</w:t>
        </w:r>
        <w:r w:rsidR="00BA09BE">
          <w:rPr>
            <w:noProof/>
            <w:webHidden/>
          </w:rPr>
          <w:tab/>
        </w:r>
        <w:r w:rsidR="00BA09BE">
          <w:rPr>
            <w:noProof/>
            <w:webHidden/>
          </w:rPr>
          <w:fldChar w:fldCharType="begin"/>
        </w:r>
        <w:r w:rsidR="00BA09BE">
          <w:rPr>
            <w:noProof/>
            <w:webHidden/>
          </w:rPr>
          <w:instrText xml:space="preserve"> PAGEREF _Toc63761422 \h </w:instrText>
        </w:r>
        <w:r w:rsidR="00BA09BE">
          <w:rPr>
            <w:noProof/>
            <w:webHidden/>
          </w:rPr>
        </w:r>
        <w:r w:rsidR="00BA09BE">
          <w:rPr>
            <w:noProof/>
            <w:webHidden/>
          </w:rPr>
          <w:fldChar w:fldCharType="separate"/>
        </w:r>
        <w:r w:rsidR="00BA09BE">
          <w:rPr>
            <w:noProof/>
            <w:webHidden/>
          </w:rPr>
          <w:t>8</w:t>
        </w:r>
        <w:r w:rsidR="00BA09BE">
          <w:rPr>
            <w:noProof/>
            <w:webHidden/>
          </w:rPr>
          <w:fldChar w:fldCharType="end"/>
        </w:r>
      </w:hyperlink>
    </w:p>
    <w:p w14:paraId="5F4164AE" w14:textId="4550964D" w:rsidR="00BA09BE" w:rsidRDefault="001A0AE9">
      <w:pPr>
        <w:pStyle w:val="TOC2"/>
        <w:tabs>
          <w:tab w:val="right" w:leader="dot" w:pos="9016"/>
        </w:tabs>
        <w:rPr>
          <w:rFonts w:asciiTheme="minorHAnsi" w:eastAsiaTheme="minorEastAsia" w:hAnsiTheme="minorHAnsi" w:cstheme="minorBidi"/>
          <w:noProof/>
          <w:sz w:val="22"/>
          <w:szCs w:val="22"/>
          <w:lang w:eastAsia="en-GB"/>
        </w:rPr>
      </w:pPr>
      <w:hyperlink w:anchor="_Toc63761423" w:history="1">
        <w:r w:rsidR="00BA09BE" w:rsidRPr="00443DF3">
          <w:rPr>
            <w:rStyle w:val="Hyperlink"/>
            <w:noProof/>
          </w:rPr>
          <w:t>4.3 Teachers and support staff</w:t>
        </w:r>
        <w:r w:rsidR="00BA09BE">
          <w:rPr>
            <w:noProof/>
            <w:webHidden/>
          </w:rPr>
          <w:tab/>
        </w:r>
        <w:r w:rsidR="00BA09BE">
          <w:rPr>
            <w:noProof/>
            <w:webHidden/>
          </w:rPr>
          <w:fldChar w:fldCharType="begin"/>
        </w:r>
        <w:r w:rsidR="00BA09BE">
          <w:rPr>
            <w:noProof/>
            <w:webHidden/>
          </w:rPr>
          <w:instrText xml:space="preserve"> PAGEREF _Toc63761423 \h </w:instrText>
        </w:r>
        <w:r w:rsidR="00BA09BE">
          <w:rPr>
            <w:noProof/>
            <w:webHidden/>
          </w:rPr>
        </w:r>
        <w:r w:rsidR="00BA09BE">
          <w:rPr>
            <w:noProof/>
            <w:webHidden/>
          </w:rPr>
          <w:fldChar w:fldCharType="separate"/>
        </w:r>
        <w:r w:rsidR="00BA09BE">
          <w:rPr>
            <w:noProof/>
            <w:webHidden/>
          </w:rPr>
          <w:t>10</w:t>
        </w:r>
        <w:r w:rsidR="00BA09BE">
          <w:rPr>
            <w:noProof/>
            <w:webHidden/>
          </w:rPr>
          <w:fldChar w:fldCharType="end"/>
        </w:r>
      </w:hyperlink>
    </w:p>
    <w:p w14:paraId="6AC05833" w14:textId="3AAB318E" w:rsidR="00BA09BE" w:rsidRDefault="001A0AE9" w:rsidP="00BA09BE">
      <w:pPr>
        <w:pStyle w:val="TOC2"/>
        <w:tabs>
          <w:tab w:val="right" w:leader="dot" w:pos="9016"/>
        </w:tabs>
        <w:ind w:left="0"/>
        <w:rPr>
          <w:rFonts w:asciiTheme="minorHAnsi" w:eastAsiaTheme="minorEastAsia" w:hAnsiTheme="minorHAnsi" w:cstheme="minorBidi"/>
          <w:noProof/>
          <w:sz w:val="22"/>
          <w:szCs w:val="22"/>
          <w:lang w:eastAsia="en-GB"/>
        </w:rPr>
      </w:pPr>
      <w:hyperlink w:anchor="_Toc63761424" w:history="1">
        <w:r w:rsidR="00BA09BE" w:rsidRPr="00443DF3">
          <w:rPr>
            <w:rStyle w:val="Hyperlink"/>
            <w:noProof/>
          </w:rPr>
          <w:t>5</w:t>
        </w:r>
        <w:r w:rsidR="00BA09BE">
          <w:rPr>
            <w:rStyle w:val="Hyperlink"/>
            <w:noProof/>
          </w:rPr>
          <w:t>.</w:t>
        </w:r>
        <w:r w:rsidR="00BA09BE" w:rsidRPr="00443DF3">
          <w:rPr>
            <w:rStyle w:val="Hyperlink"/>
            <w:noProof/>
          </w:rPr>
          <w:t xml:space="preserve"> Conclusion</w:t>
        </w:r>
        <w:r w:rsidR="00BA09BE">
          <w:rPr>
            <w:noProof/>
            <w:webHidden/>
          </w:rPr>
          <w:tab/>
        </w:r>
        <w:r w:rsidR="00BA09BE">
          <w:rPr>
            <w:noProof/>
            <w:webHidden/>
          </w:rPr>
          <w:fldChar w:fldCharType="begin"/>
        </w:r>
        <w:r w:rsidR="00BA09BE">
          <w:rPr>
            <w:noProof/>
            <w:webHidden/>
          </w:rPr>
          <w:instrText xml:space="preserve"> PAGEREF _Toc63761424 \h </w:instrText>
        </w:r>
        <w:r w:rsidR="00BA09BE">
          <w:rPr>
            <w:noProof/>
            <w:webHidden/>
          </w:rPr>
        </w:r>
        <w:r w:rsidR="00BA09BE">
          <w:rPr>
            <w:noProof/>
            <w:webHidden/>
          </w:rPr>
          <w:fldChar w:fldCharType="separate"/>
        </w:r>
        <w:r w:rsidR="00BA09BE">
          <w:rPr>
            <w:noProof/>
            <w:webHidden/>
          </w:rPr>
          <w:t>11</w:t>
        </w:r>
        <w:r w:rsidR="00BA09BE">
          <w:rPr>
            <w:noProof/>
            <w:webHidden/>
          </w:rPr>
          <w:fldChar w:fldCharType="end"/>
        </w:r>
      </w:hyperlink>
    </w:p>
    <w:p w14:paraId="7004996E" w14:textId="3DB70BE1" w:rsidR="00BA09BE" w:rsidRDefault="001A0AE9" w:rsidP="00BA09BE">
      <w:pPr>
        <w:pStyle w:val="TOC2"/>
        <w:tabs>
          <w:tab w:val="right" w:leader="dot" w:pos="9016"/>
        </w:tabs>
        <w:ind w:left="0"/>
        <w:rPr>
          <w:rFonts w:asciiTheme="minorHAnsi" w:eastAsiaTheme="minorEastAsia" w:hAnsiTheme="minorHAnsi" w:cstheme="minorBidi"/>
          <w:noProof/>
          <w:sz w:val="22"/>
          <w:szCs w:val="22"/>
          <w:lang w:eastAsia="en-GB"/>
        </w:rPr>
      </w:pPr>
      <w:hyperlink w:anchor="_Toc63761425" w:history="1">
        <w:r w:rsidR="00BA09BE" w:rsidRPr="00443DF3">
          <w:rPr>
            <w:rStyle w:val="Hyperlink"/>
            <w:noProof/>
            <w:lang w:eastAsia="en-GB"/>
          </w:rPr>
          <w:t>6. References</w:t>
        </w:r>
        <w:r w:rsidR="00BA09BE">
          <w:rPr>
            <w:noProof/>
            <w:webHidden/>
          </w:rPr>
          <w:tab/>
        </w:r>
        <w:r w:rsidR="00BA09BE">
          <w:rPr>
            <w:noProof/>
            <w:webHidden/>
          </w:rPr>
          <w:fldChar w:fldCharType="begin"/>
        </w:r>
        <w:r w:rsidR="00BA09BE">
          <w:rPr>
            <w:noProof/>
            <w:webHidden/>
          </w:rPr>
          <w:instrText xml:space="preserve"> PAGEREF _Toc63761425 \h </w:instrText>
        </w:r>
        <w:r w:rsidR="00BA09BE">
          <w:rPr>
            <w:noProof/>
            <w:webHidden/>
          </w:rPr>
        </w:r>
        <w:r w:rsidR="00BA09BE">
          <w:rPr>
            <w:noProof/>
            <w:webHidden/>
          </w:rPr>
          <w:fldChar w:fldCharType="separate"/>
        </w:r>
        <w:r w:rsidR="00BA09BE">
          <w:rPr>
            <w:noProof/>
            <w:webHidden/>
          </w:rPr>
          <w:t>12</w:t>
        </w:r>
        <w:r w:rsidR="00BA09BE">
          <w:rPr>
            <w:noProof/>
            <w:webHidden/>
          </w:rPr>
          <w:fldChar w:fldCharType="end"/>
        </w:r>
      </w:hyperlink>
    </w:p>
    <w:p w14:paraId="50B3142A" w14:textId="77777777" w:rsidR="008442C3" w:rsidRDefault="008442C3" w:rsidP="008442C3">
      <w:r>
        <w:fldChar w:fldCharType="end"/>
      </w:r>
    </w:p>
    <w:p w14:paraId="01197DEE" w14:textId="77777777" w:rsidR="008442C3" w:rsidRDefault="008442C3" w:rsidP="008442C3"/>
    <w:p w14:paraId="4A00D1CD" w14:textId="77777777" w:rsidR="008442C3" w:rsidRDefault="008442C3" w:rsidP="008442C3">
      <w:pPr>
        <w:rPr>
          <w:b/>
          <w:kern w:val="32"/>
          <w:sz w:val="44"/>
        </w:rPr>
      </w:pPr>
      <w:r>
        <w:br w:type="page"/>
      </w:r>
    </w:p>
    <w:p w14:paraId="1C7D841C" w14:textId="77777777" w:rsidR="008442C3" w:rsidRDefault="008442C3" w:rsidP="008442C3">
      <w:pPr>
        <w:pStyle w:val="Heading1"/>
      </w:pPr>
      <w:bookmarkStart w:id="16" w:name="_Toc63761416"/>
      <w:proofErr w:type="spellStart"/>
      <w:r>
        <w:lastRenderedPageBreak/>
        <w:t>i</w:t>
      </w:r>
      <w:proofErr w:type="spellEnd"/>
      <w:r>
        <w:t>. Glossary</w:t>
      </w:r>
      <w:bookmarkEnd w:id="16"/>
    </w:p>
    <w:p w14:paraId="1641F4ED" w14:textId="77777777" w:rsidR="008442C3" w:rsidRDefault="008442C3" w:rsidP="008442C3">
      <w:r>
        <w:t>The following table is a glossary containing acronyms used in this report and their definitions. There are two columns. The first column contains the acronym and the second column contains the definition.</w:t>
      </w:r>
    </w:p>
    <w:p w14:paraId="7B5DD7E6" w14:textId="77777777" w:rsidR="008442C3" w:rsidRPr="00C464CA" w:rsidRDefault="008442C3" w:rsidP="008442C3"/>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7603"/>
      </w:tblGrid>
      <w:tr w:rsidR="008442C3" w14:paraId="296BF967" w14:textId="77777777" w:rsidTr="00763E55">
        <w:tc>
          <w:tcPr>
            <w:tcW w:w="1413" w:type="dxa"/>
          </w:tcPr>
          <w:p w14:paraId="48A9E785" w14:textId="77777777" w:rsidR="008442C3" w:rsidRPr="005902A3" w:rsidRDefault="008442C3" w:rsidP="00763E55">
            <w:pPr>
              <w:spacing w:after="120"/>
              <w:rPr>
                <w:b/>
              </w:rPr>
            </w:pPr>
            <w:r w:rsidRPr="005902A3">
              <w:rPr>
                <w:b/>
              </w:rPr>
              <w:t>CYP</w:t>
            </w:r>
          </w:p>
        </w:tc>
        <w:tc>
          <w:tcPr>
            <w:tcW w:w="7603" w:type="dxa"/>
          </w:tcPr>
          <w:p w14:paraId="3923B1E2" w14:textId="77777777" w:rsidR="008442C3" w:rsidRDefault="008442C3" w:rsidP="00763E55">
            <w:pPr>
              <w:spacing w:after="120"/>
            </w:pPr>
            <w:r>
              <w:t>Children and Young People</w:t>
            </w:r>
          </w:p>
        </w:tc>
      </w:tr>
      <w:tr w:rsidR="008442C3" w14:paraId="6BE05D14" w14:textId="77777777" w:rsidTr="00763E55">
        <w:tc>
          <w:tcPr>
            <w:tcW w:w="1413" w:type="dxa"/>
          </w:tcPr>
          <w:p w14:paraId="2E4BB724" w14:textId="77777777" w:rsidR="008442C3" w:rsidRPr="005902A3" w:rsidRDefault="008442C3" w:rsidP="00763E55">
            <w:pPr>
              <w:spacing w:after="120"/>
              <w:rPr>
                <w:b/>
              </w:rPr>
            </w:pPr>
            <w:r w:rsidRPr="005902A3">
              <w:rPr>
                <w:b/>
              </w:rPr>
              <w:t>DfE</w:t>
            </w:r>
          </w:p>
        </w:tc>
        <w:tc>
          <w:tcPr>
            <w:tcW w:w="7603" w:type="dxa"/>
          </w:tcPr>
          <w:p w14:paraId="29BDA7F0" w14:textId="77777777" w:rsidR="008442C3" w:rsidRDefault="008442C3" w:rsidP="00763E55">
            <w:pPr>
              <w:spacing w:after="120"/>
            </w:pPr>
            <w:r>
              <w:t>Department for Education</w:t>
            </w:r>
          </w:p>
        </w:tc>
      </w:tr>
      <w:tr w:rsidR="008442C3" w14:paraId="0E1F9BDE" w14:textId="77777777" w:rsidTr="00763E55">
        <w:tc>
          <w:tcPr>
            <w:tcW w:w="1413" w:type="dxa"/>
          </w:tcPr>
          <w:p w14:paraId="195FBFA1" w14:textId="77777777" w:rsidR="008442C3" w:rsidRPr="005902A3" w:rsidRDefault="008442C3" w:rsidP="00763E55">
            <w:pPr>
              <w:spacing w:after="120"/>
              <w:rPr>
                <w:b/>
              </w:rPr>
            </w:pPr>
            <w:r w:rsidRPr="005902A3">
              <w:rPr>
                <w:b/>
              </w:rPr>
              <w:t>EHCP</w:t>
            </w:r>
          </w:p>
        </w:tc>
        <w:tc>
          <w:tcPr>
            <w:tcW w:w="7603" w:type="dxa"/>
          </w:tcPr>
          <w:p w14:paraId="0947449B" w14:textId="77777777" w:rsidR="008442C3" w:rsidRDefault="008442C3" w:rsidP="00763E55">
            <w:pPr>
              <w:spacing w:after="120"/>
            </w:pPr>
            <w:r>
              <w:t>Education, Health, and Care Plan</w:t>
            </w:r>
          </w:p>
        </w:tc>
      </w:tr>
      <w:tr w:rsidR="008442C3" w14:paraId="4C581292" w14:textId="77777777" w:rsidTr="00763E55">
        <w:tc>
          <w:tcPr>
            <w:tcW w:w="1413" w:type="dxa"/>
          </w:tcPr>
          <w:p w14:paraId="3E60CBB5" w14:textId="77777777" w:rsidR="008442C3" w:rsidRPr="005902A3" w:rsidRDefault="008442C3" w:rsidP="00763E55">
            <w:pPr>
              <w:spacing w:after="120"/>
              <w:rPr>
                <w:b/>
              </w:rPr>
            </w:pPr>
            <w:r w:rsidRPr="005902A3">
              <w:rPr>
                <w:b/>
              </w:rPr>
              <w:t>FOI</w:t>
            </w:r>
          </w:p>
        </w:tc>
        <w:tc>
          <w:tcPr>
            <w:tcW w:w="7603" w:type="dxa"/>
          </w:tcPr>
          <w:p w14:paraId="2273B79F" w14:textId="77777777" w:rsidR="008442C3" w:rsidRDefault="008442C3" w:rsidP="00763E55">
            <w:pPr>
              <w:spacing w:after="120"/>
            </w:pPr>
            <w:r>
              <w:t>Freedom of Information</w:t>
            </w:r>
          </w:p>
        </w:tc>
      </w:tr>
      <w:tr w:rsidR="008442C3" w14:paraId="18E83AFF" w14:textId="77777777" w:rsidTr="00763E55">
        <w:tc>
          <w:tcPr>
            <w:tcW w:w="1413" w:type="dxa"/>
          </w:tcPr>
          <w:p w14:paraId="69CD53A3" w14:textId="77777777" w:rsidR="008442C3" w:rsidRPr="005902A3" w:rsidRDefault="008442C3" w:rsidP="00763E55">
            <w:pPr>
              <w:spacing w:after="120"/>
              <w:rPr>
                <w:b/>
              </w:rPr>
            </w:pPr>
            <w:r w:rsidRPr="005902A3">
              <w:rPr>
                <w:b/>
              </w:rPr>
              <w:t>FTE</w:t>
            </w:r>
          </w:p>
        </w:tc>
        <w:tc>
          <w:tcPr>
            <w:tcW w:w="7603" w:type="dxa"/>
          </w:tcPr>
          <w:p w14:paraId="050E83F0" w14:textId="77777777" w:rsidR="008442C3" w:rsidRDefault="008442C3" w:rsidP="00763E55">
            <w:pPr>
              <w:spacing w:after="120"/>
            </w:pPr>
            <w:r>
              <w:t>Full-time Equivalent</w:t>
            </w:r>
          </w:p>
        </w:tc>
      </w:tr>
      <w:tr w:rsidR="008442C3" w14:paraId="379971E0" w14:textId="77777777" w:rsidTr="00763E55">
        <w:tc>
          <w:tcPr>
            <w:tcW w:w="1413" w:type="dxa"/>
          </w:tcPr>
          <w:p w14:paraId="202C13F1" w14:textId="77777777" w:rsidR="008442C3" w:rsidRPr="005902A3" w:rsidRDefault="008442C3" w:rsidP="00763E55">
            <w:pPr>
              <w:spacing w:after="120"/>
              <w:rPr>
                <w:b/>
              </w:rPr>
            </w:pPr>
            <w:r w:rsidRPr="005902A3">
              <w:rPr>
                <w:b/>
              </w:rPr>
              <w:t>HI</w:t>
            </w:r>
          </w:p>
        </w:tc>
        <w:tc>
          <w:tcPr>
            <w:tcW w:w="7603" w:type="dxa"/>
          </w:tcPr>
          <w:p w14:paraId="5605CD15" w14:textId="77777777" w:rsidR="008442C3" w:rsidRDefault="008442C3" w:rsidP="00763E55">
            <w:pPr>
              <w:spacing w:after="120"/>
            </w:pPr>
            <w:r>
              <w:t>Hearing Impairment</w:t>
            </w:r>
          </w:p>
        </w:tc>
      </w:tr>
      <w:tr w:rsidR="008442C3" w14:paraId="1AF6C41A" w14:textId="77777777" w:rsidTr="00763E55">
        <w:tc>
          <w:tcPr>
            <w:tcW w:w="1413" w:type="dxa"/>
          </w:tcPr>
          <w:p w14:paraId="14B270A6" w14:textId="77777777" w:rsidR="008442C3" w:rsidRPr="005902A3" w:rsidRDefault="008442C3" w:rsidP="00763E55">
            <w:pPr>
              <w:spacing w:after="120"/>
              <w:rPr>
                <w:b/>
              </w:rPr>
            </w:pPr>
            <w:r w:rsidRPr="005902A3">
              <w:rPr>
                <w:b/>
              </w:rPr>
              <w:t>LA</w:t>
            </w:r>
          </w:p>
        </w:tc>
        <w:tc>
          <w:tcPr>
            <w:tcW w:w="7603" w:type="dxa"/>
          </w:tcPr>
          <w:p w14:paraId="1C9854B7" w14:textId="77777777" w:rsidR="008442C3" w:rsidRDefault="008442C3" w:rsidP="00763E55">
            <w:pPr>
              <w:spacing w:after="120"/>
            </w:pPr>
            <w:r>
              <w:t>Local Authority</w:t>
            </w:r>
          </w:p>
        </w:tc>
      </w:tr>
      <w:tr w:rsidR="008442C3" w14:paraId="32E73E60" w14:textId="77777777" w:rsidTr="00763E55">
        <w:tc>
          <w:tcPr>
            <w:tcW w:w="1413" w:type="dxa"/>
          </w:tcPr>
          <w:p w14:paraId="07CDE833" w14:textId="77777777" w:rsidR="008442C3" w:rsidRPr="005902A3" w:rsidRDefault="008442C3" w:rsidP="00763E55">
            <w:pPr>
              <w:spacing w:after="120"/>
              <w:rPr>
                <w:b/>
              </w:rPr>
            </w:pPr>
            <w:r w:rsidRPr="005902A3">
              <w:rPr>
                <w:b/>
              </w:rPr>
              <w:t>MQ</w:t>
            </w:r>
          </w:p>
        </w:tc>
        <w:tc>
          <w:tcPr>
            <w:tcW w:w="7603" w:type="dxa"/>
          </w:tcPr>
          <w:p w14:paraId="01519C56" w14:textId="77777777" w:rsidR="008442C3" w:rsidRDefault="008442C3" w:rsidP="00763E55">
            <w:pPr>
              <w:spacing w:after="120"/>
            </w:pPr>
            <w:r>
              <w:t>Mandatory Qualification</w:t>
            </w:r>
          </w:p>
        </w:tc>
      </w:tr>
      <w:tr w:rsidR="008442C3" w14:paraId="60E859B1" w14:textId="77777777" w:rsidTr="00763E55">
        <w:tc>
          <w:tcPr>
            <w:tcW w:w="1413" w:type="dxa"/>
          </w:tcPr>
          <w:p w14:paraId="6C50A604" w14:textId="77777777" w:rsidR="008442C3" w:rsidRPr="005902A3" w:rsidRDefault="008442C3" w:rsidP="00763E55">
            <w:pPr>
              <w:spacing w:after="120"/>
              <w:rPr>
                <w:b/>
              </w:rPr>
            </w:pPr>
            <w:r w:rsidRPr="005902A3">
              <w:rPr>
                <w:b/>
              </w:rPr>
              <w:t>MSI</w:t>
            </w:r>
          </w:p>
        </w:tc>
        <w:tc>
          <w:tcPr>
            <w:tcW w:w="7603" w:type="dxa"/>
          </w:tcPr>
          <w:p w14:paraId="6CFDD52F" w14:textId="77777777" w:rsidR="008442C3" w:rsidRDefault="008442C3" w:rsidP="00763E55">
            <w:pPr>
              <w:spacing w:after="120"/>
            </w:pPr>
            <w:r>
              <w:t>Multi-sensory Impairment</w:t>
            </w:r>
          </w:p>
        </w:tc>
      </w:tr>
      <w:tr w:rsidR="008442C3" w14:paraId="1E2C8898" w14:textId="77777777" w:rsidTr="00763E55">
        <w:tc>
          <w:tcPr>
            <w:tcW w:w="1413" w:type="dxa"/>
          </w:tcPr>
          <w:p w14:paraId="4CC5D19D" w14:textId="77777777" w:rsidR="008442C3" w:rsidRPr="005902A3" w:rsidRDefault="008442C3" w:rsidP="00763E55">
            <w:pPr>
              <w:spacing w:after="120"/>
              <w:rPr>
                <w:b/>
              </w:rPr>
            </w:pPr>
            <w:r w:rsidRPr="005902A3">
              <w:rPr>
                <w:b/>
              </w:rPr>
              <w:t>NatSIP</w:t>
            </w:r>
          </w:p>
        </w:tc>
        <w:tc>
          <w:tcPr>
            <w:tcW w:w="7603" w:type="dxa"/>
          </w:tcPr>
          <w:p w14:paraId="5C07469B" w14:textId="77777777" w:rsidR="008442C3" w:rsidRDefault="008442C3" w:rsidP="00763E55">
            <w:pPr>
              <w:spacing w:after="120"/>
            </w:pPr>
            <w:r>
              <w:t>National Sensory Impairment Partnership</w:t>
            </w:r>
          </w:p>
        </w:tc>
      </w:tr>
      <w:tr w:rsidR="008442C3" w14:paraId="06A12B3E" w14:textId="77777777" w:rsidTr="00763E55">
        <w:tc>
          <w:tcPr>
            <w:tcW w:w="1413" w:type="dxa"/>
          </w:tcPr>
          <w:p w14:paraId="4CD03374" w14:textId="77777777" w:rsidR="008442C3" w:rsidRPr="005902A3" w:rsidRDefault="008442C3" w:rsidP="00763E55">
            <w:pPr>
              <w:spacing w:after="120"/>
              <w:rPr>
                <w:b/>
              </w:rPr>
            </w:pPr>
            <w:r w:rsidRPr="005902A3">
              <w:rPr>
                <w:b/>
              </w:rPr>
              <w:t>QTMSI</w:t>
            </w:r>
          </w:p>
        </w:tc>
        <w:tc>
          <w:tcPr>
            <w:tcW w:w="7603" w:type="dxa"/>
          </w:tcPr>
          <w:p w14:paraId="6A52D423" w14:textId="77777777" w:rsidR="008442C3" w:rsidRDefault="008442C3" w:rsidP="00763E55">
            <w:pPr>
              <w:spacing w:after="120"/>
            </w:pPr>
            <w:r>
              <w:t>Qualified Teacher of children and young people with Multi-Sensory Impairment</w:t>
            </w:r>
          </w:p>
        </w:tc>
      </w:tr>
      <w:tr w:rsidR="008442C3" w14:paraId="0D192232" w14:textId="77777777" w:rsidTr="00763E55">
        <w:tc>
          <w:tcPr>
            <w:tcW w:w="1413" w:type="dxa"/>
          </w:tcPr>
          <w:p w14:paraId="7004ABE8" w14:textId="77777777" w:rsidR="008442C3" w:rsidRPr="005902A3" w:rsidRDefault="008442C3" w:rsidP="00763E55">
            <w:pPr>
              <w:spacing w:after="120"/>
              <w:rPr>
                <w:b/>
              </w:rPr>
            </w:pPr>
            <w:r w:rsidRPr="005902A3">
              <w:rPr>
                <w:b/>
              </w:rPr>
              <w:t>QTVI</w:t>
            </w:r>
          </w:p>
        </w:tc>
        <w:tc>
          <w:tcPr>
            <w:tcW w:w="7603" w:type="dxa"/>
          </w:tcPr>
          <w:p w14:paraId="7E43E0EF" w14:textId="77777777" w:rsidR="008442C3" w:rsidRDefault="008442C3" w:rsidP="00763E55">
            <w:pPr>
              <w:spacing w:after="120"/>
            </w:pPr>
            <w:r>
              <w:t>Qualified Teacher of children and young people with Vision Impairment</w:t>
            </w:r>
          </w:p>
        </w:tc>
      </w:tr>
      <w:tr w:rsidR="008442C3" w14:paraId="63FE0A7A" w14:textId="77777777" w:rsidTr="00763E55">
        <w:tc>
          <w:tcPr>
            <w:tcW w:w="1413" w:type="dxa"/>
          </w:tcPr>
          <w:p w14:paraId="184184E6" w14:textId="77777777" w:rsidR="008442C3" w:rsidRPr="005902A3" w:rsidRDefault="008442C3" w:rsidP="00763E55">
            <w:pPr>
              <w:spacing w:after="120"/>
              <w:rPr>
                <w:b/>
              </w:rPr>
            </w:pPr>
            <w:r w:rsidRPr="005902A3">
              <w:rPr>
                <w:b/>
              </w:rPr>
              <w:t>RNIB</w:t>
            </w:r>
          </w:p>
        </w:tc>
        <w:tc>
          <w:tcPr>
            <w:tcW w:w="7603" w:type="dxa"/>
          </w:tcPr>
          <w:p w14:paraId="24942FE4" w14:textId="77777777" w:rsidR="008442C3" w:rsidRDefault="008442C3" w:rsidP="00763E55">
            <w:pPr>
              <w:spacing w:after="120"/>
            </w:pPr>
            <w:r>
              <w:t>Royal National Institute of Blind People</w:t>
            </w:r>
          </w:p>
        </w:tc>
      </w:tr>
      <w:tr w:rsidR="008442C3" w14:paraId="0E1B2642" w14:textId="77777777" w:rsidTr="00763E55">
        <w:tc>
          <w:tcPr>
            <w:tcW w:w="1413" w:type="dxa"/>
          </w:tcPr>
          <w:p w14:paraId="23E4E38E" w14:textId="77777777" w:rsidR="008442C3" w:rsidRPr="005902A3" w:rsidRDefault="008442C3" w:rsidP="00763E55">
            <w:pPr>
              <w:spacing w:after="120"/>
              <w:rPr>
                <w:b/>
              </w:rPr>
            </w:pPr>
            <w:r w:rsidRPr="005902A3">
              <w:rPr>
                <w:b/>
              </w:rPr>
              <w:t>SEN</w:t>
            </w:r>
          </w:p>
        </w:tc>
        <w:tc>
          <w:tcPr>
            <w:tcW w:w="7603" w:type="dxa"/>
          </w:tcPr>
          <w:p w14:paraId="1EFA9462" w14:textId="77777777" w:rsidR="008442C3" w:rsidRDefault="008442C3" w:rsidP="00763E55">
            <w:pPr>
              <w:spacing w:after="120"/>
            </w:pPr>
            <w:r>
              <w:t>Special Educational Needs</w:t>
            </w:r>
          </w:p>
        </w:tc>
      </w:tr>
      <w:tr w:rsidR="008442C3" w14:paraId="54712CC2" w14:textId="77777777" w:rsidTr="00763E55">
        <w:tc>
          <w:tcPr>
            <w:tcW w:w="1413" w:type="dxa"/>
          </w:tcPr>
          <w:p w14:paraId="42975D5C" w14:textId="77777777" w:rsidR="008442C3" w:rsidRPr="005902A3" w:rsidRDefault="008442C3" w:rsidP="00763E55">
            <w:pPr>
              <w:spacing w:after="120"/>
              <w:rPr>
                <w:b/>
              </w:rPr>
            </w:pPr>
            <w:r w:rsidRPr="005902A3">
              <w:rPr>
                <w:b/>
              </w:rPr>
              <w:t>SEND</w:t>
            </w:r>
          </w:p>
        </w:tc>
        <w:tc>
          <w:tcPr>
            <w:tcW w:w="7603" w:type="dxa"/>
          </w:tcPr>
          <w:p w14:paraId="43E572C8" w14:textId="77777777" w:rsidR="008442C3" w:rsidRDefault="008442C3" w:rsidP="00763E55">
            <w:pPr>
              <w:spacing w:after="120"/>
            </w:pPr>
            <w:r>
              <w:t>Special Educational Needs and Disabilities</w:t>
            </w:r>
          </w:p>
        </w:tc>
      </w:tr>
      <w:tr w:rsidR="008442C3" w14:paraId="16FE8037" w14:textId="77777777" w:rsidTr="00763E55">
        <w:tc>
          <w:tcPr>
            <w:tcW w:w="1413" w:type="dxa"/>
          </w:tcPr>
          <w:p w14:paraId="678D1FE4" w14:textId="77777777" w:rsidR="008442C3" w:rsidRPr="005902A3" w:rsidRDefault="008442C3" w:rsidP="00763E55">
            <w:pPr>
              <w:spacing w:after="120"/>
              <w:rPr>
                <w:b/>
              </w:rPr>
            </w:pPr>
            <w:r w:rsidRPr="005902A3">
              <w:rPr>
                <w:b/>
              </w:rPr>
              <w:t>TA</w:t>
            </w:r>
          </w:p>
        </w:tc>
        <w:tc>
          <w:tcPr>
            <w:tcW w:w="7603" w:type="dxa"/>
          </w:tcPr>
          <w:p w14:paraId="2C0D583A" w14:textId="77777777" w:rsidR="008442C3" w:rsidRDefault="008442C3" w:rsidP="00763E55">
            <w:pPr>
              <w:spacing w:after="120"/>
            </w:pPr>
            <w:r>
              <w:t>Teaching Assistant</w:t>
            </w:r>
          </w:p>
        </w:tc>
      </w:tr>
      <w:tr w:rsidR="008442C3" w14:paraId="7ABB8AD9" w14:textId="77777777" w:rsidTr="00763E55">
        <w:tc>
          <w:tcPr>
            <w:tcW w:w="1413" w:type="dxa"/>
          </w:tcPr>
          <w:p w14:paraId="3C897AF9" w14:textId="77777777" w:rsidR="008442C3" w:rsidRPr="005902A3" w:rsidRDefault="008442C3" w:rsidP="00763E55">
            <w:pPr>
              <w:spacing w:after="120"/>
              <w:rPr>
                <w:b/>
              </w:rPr>
            </w:pPr>
            <w:proofErr w:type="spellStart"/>
            <w:r w:rsidRPr="005902A3">
              <w:rPr>
                <w:b/>
              </w:rPr>
              <w:t>ToD</w:t>
            </w:r>
            <w:proofErr w:type="spellEnd"/>
          </w:p>
        </w:tc>
        <w:tc>
          <w:tcPr>
            <w:tcW w:w="7603" w:type="dxa"/>
          </w:tcPr>
          <w:p w14:paraId="013F76C1" w14:textId="77777777" w:rsidR="008442C3" w:rsidRPr="006E3225" w:rsidRDefault="008442C3" w:rsidP="00763E55">
            <w:pPr>
              <w:spacing w:after="120"/>
            </w:pPr>
            <w:r>
              <w:t>Teacher of the Deaf</w:t>
            </w:r>
          </w:p>
        </w:tc>
      </w:tr>
      <w:tr w:rsidR="008442C3" w14:paraId="16EAA765" w14:textId="77777777" w:rsidTr="00763E55">
        <w:tc>
          <w:tcPr>
            <w:tcW w:w="1413" w:type="dxa"/>
          </w:tcPr>
          <w:p w14:paraId="07CAA4A4" w14:textId="77777777" w:rsidR="008442C3" w:rsidRPr="005902A3" w:rsidRDefault="008442C3" w:rsidP="00763E55">
            <w:pPr>
              <w:spacing w:after="120"/>
              <w:rPr>
                <w:b/>
              </w:rPr>
            </w:pPr>
            <w:r w:rsidRPr="005902A3">
              <w:rPr>
                <w:b/>
              </w:rPr>
              <w:t>VI</w:t>
            </w:r>
          </w:p>
        </w:tc>
        <w:tc>
          <w:tcPr>
            <w:tcW w:w="7603" w:type="dxa"/>
          </w:tcPr>
          <w:p w14:paraId="041AE5B3" w14:textId="77777777" w:rsidR="008442C3" w:rsidRDefault="008442C3" w:rsidP="00763E55">
            <w:pPr>
              <w:spacing w:after="120"/>
            </w:pPr>
            <w:r>
              <w:t>Vision Impairment</w:t>
            </w:r>
          </w:p>
        </w:tc>
      </w:tr>
    </w:tbl>
    <w:p w14:paraId="43249D57" w14:textId="77777777" w:rsidR="008442C3" w:rsidRDefault="008442C3" w:rsidP="008442C3"/>
    <w:p w14:paraId="6EB4EFAA" w14:textId="423817C7" w:rsidR="008442C3" w:rsidRDefault="008442C3" w:rsidP="008442C3"/>
    <w:p w14:paraId="7CF50E36" w14:textId="602F18C3" w:rsidR="009D08EE" w:rsidRDefault="009D08EE" w:rsidP="008442C3"/>
    <w:p w14:paraId="09D5E774" w14:textId="35946EF0" w:rsidR="009D08EE" w:rsidRDefault="009D08EE" w:rsidP="008442C3"/>
    <w:p w14:paraId="1A70B665" w14:textId="787609CB" w:rsidR="009D08EE" w:rsidRDefault="009D08EE" w:rsidP="008442C3"/>
    <w:p w14:paraId="6362B85D" w14:textId="40B16034" w:rsidR="009D08EE" w:rsidRDefault="009D08EE" w:rsidP="008442C3"/>
    <w:p w14:paraId="6FC47405" w14:textId="77777777" w:rsidR="009D08EE" w:rsidRPr="00585804" w:rsidRDefault="009D08EE" w:rsidP="008442C3"/>
    <w:p w14:paraId="2E5B3D87" w14:textId="77777777" w:rsidR="008442C3" w:rsidRDefault="008442C3" w:rsidP="008442C3">
      <w:pPr>
        <w:pStyle w:val="Heading1"/>
      </w:pPr>
      <w:bookmarkStart w:id="17" w:name="_Toc63761417"/>
      <w:r>
        <w:lastRenderedPageBreak/>
        <w:t>1. Introduction</w:t>
      </w:r>
      <w:bookmarkEnd w:id="17"/>
    </w:p>
    <w:p w14:paraId="7D5425C0" w14:textId="26ED6196" w:rsidR="008442C3" w:rsidRDefault="008442C3" w:rsidP="008442C3">
      <w:r>
        <w:t xml:space="preserve">Provision for specialist educational support for children with </w:t>
      </w:r>
      <w:r w:rsidR="002B631C">
        <w:t xml:space="preserve">a </w:t>
      </w:r>
      <w:r>
        <w:t xml:space="preserve">vision impairment is essential to ensure they are not disadvantaged in their education. In order to better understand and monitor the provision of specialist education services for children with a vision impairment, RNIB runs an annual survey of local authorities across England. This report summarises findings from the most recent Freedom of Information (FOI) survey in </w:t>
      </w:r>
      <w:r w:rsidR="000B320F">
        <w:t xml:space="preserve">Autumn </w:t>
      </w:r>
      <w:r>
        <w:t>20</w:t>
      </w:r>
      <w:r w:rsidR="00C843A8">
        <w:t>20</w:t>
      </w:r>
      <w:r>
        <w:t>.</w:t>
      </w:r>
    </w:p>
    <w:p w14:paraId="3493E6D4" w14:textId="77777777" w:rsidR="009B01E0" w:rsidRDefault="009B01E0" w:rsidP="008442C3"/>
    <w:p w14:paraId="2B1E123E" w14:textId="586A1575" w:rsidR="009B01E0" w:rsidRDefault="009B01E0" w:rsidP="008442C3">
      <w:r>
        <w:t xml:space="preserve">It is important to note the timing of the FOI was six months since the beginning of the coronavirus pandemic. Although </w:t>
      </w:r>
      <w:r w:rsidR="005772BB">
        <w:t xml:space="preserve">COVID was frequently mentioned by authorities, the true impact of the pandemic on services </w:t>
      </w:r>
      <w:r w:rsidR="00AB58F4">
        <w:t>is not clear</w:t>
      </w:r>
      <w:r w:rsidR="0012644F">
        <w:t xml:space="preserve"> cut. </w:t>
      </w:r>
      <w:r w:rsidR="006F2C9E">
        <w:t>A</w:t>
      </w:r>
      <w:r w:rsidR="00AB58F4">
        <w:t xml:space="preserve">dditional information </w:t>
      </w:r>
      <w:r w:rsidR="006F2C9E">
        <w:t xml:space="preserve">would need </w:t>
      </w:r>
      <w:r w:rsidR="00AB58F4">
        <w:t>to be collected in a future FOI</w:t>
      </w:r>
      <w:r w:rsidR="00251860">
        <w:t xml:space="preserve"> to</w:t>
      </w:r>
      <w:r w:rsidR="006F2C9E">
        <w:t xml:space="preserve"> truly</w:t>
      </w:r>
      <w:r w:rsidR="00251860">
        <w:t xml:space="preserve"> understand how the situation impacted on services during </w:t>
      </w:r>
      <w:r w:rsidR="0012644F">
        <w:t xml:space="preserve">the </w:t>
      </w:r>
      <w:r w:rsidR="00251860">
        <w:t>pandemic</w:t>
      </w:r>
      <w:r w:rsidR="002E7146">
        <w:t xml:space="preserve"> and</w:t>
      </w:r>
      <w:r w:rsidR="00823C90">
        <w:t xml:space="preserve"> </w:t>
      </w:r>
      <w:r w:rsidR="00EC5C41">
        <w:t>to what extent</w:t>
      </w:r>
      <w:r w:rsidR="00823C90">
        <w:t xml:space="preserve"> changes are likely to persist</w:t>
      </w:r>
      <w:r w:rsidR="002E7146">
        <w:t xml:space="preserve"> </w:t>
      </w:r>
      <w:r w:rsidR="00823C90">
        <w:t>as</w:t>
      </w:r>
      <w:r w:rsidR="002E7146">
        <w:t xml:space="preserve"> the country emerges from i</w:t>
      </w:r>
      <w:r w:rsidR="00DB5647">
        <w:t>t</w:t>
      </w:r>
      <w:r w:rsidR="0012644F">
        <w:t>.</w:t>
      </w:r>
    </w:p>
    <w:p w14:paraId="2039426B" w14:textId="77777777" w:rsidR="008442C3" w:rsidRDefault="008442C3" w:rsidP="008442C3"/>
    <w:p w14:paraId="4FB5CC86" w14:textId="77777777" w:rsidR="008442C3" w:rsidRDefault="008442C3" w:rsidP="008442C3">
      <w:pPr>
        <w:pStyle w:val="Heading1"/>
      </w:pPr>
      <w:bookmarkStart w:id="18" w:name="_Toc63761418"/>
      <w:r>
        <w:t>2. Key findings</w:t>
      </w:r>
      <w:bookmarkEnd w:id="18"/>
    </w:p>
    <w:p w14:paraId="73C6AEF9" w14:textId="77777777" w:rsidR="008442C3" w:rsidRPr="00A14986" w:rsidRDefault="008442C3" w:rsidP="008442C3">
      <w:pPr>
        <w:pStyle w:val="ListBullet"/>
        <w:numPr>
          <w:ilvl w:val="0"/>
          <w:numId w:val="0"/>
        </w:numPr>
        <w:rPr>
          <w:bCs/>
        </w:rPr>
      </w:pPr>
      <w:r>
        <w:rPr>
          <w:b/>
        </w:rPr>
        <w:t>Service provision</w:t>
      </w:r>
    </w:p>
    <w:p w14:paraId="5C574C6A" w14:textId="40485A81" w:rsidR="008442C3" w:rsidRPr="00FF0FF5" w:rsidRDefault="008442C3" w:rsidP="00F66723">
      <w:pPr>
        <w:pStyle w:val="ListBullet"/>
      </w:pPr>
      <w:r w:rsidRPr="00CD40D2">
        <w:t xml:space="preserve">Over the last </w:t>
      </w:r>
      <w:r w:rsidR="00E26BC3">
        <w:t xml:space="preserve">three </w:t>
      </w:r>
      <w:r w:rsidRPr="00CD40D2">
        <w:t>year</w:t>
      </w:r>
      <w:r w:rsidR="00E26BC3">
        <w:t>s</w:t>
      </w:r>
      <w:r w:rsidRPr="00CD40D2">
        <w:t xml:space="preserve"> </w:t>
      </w:r>
      <w:r>
        <w:t xml:space="preserve">over a third </w:t>
      </w:r>
      <w:r w:rsidRPr="00CD40D2">
        <w:t>(</w:t>
      </w:r>
      <w:r w:rsidR="00E26BC3">
        <w:t>35</w:t>
      </w:r>
      <w:r w:rsidRPr="00CD40D2">
        <w:t>%) of local authorities have reported a decrease in their funding for VI services</w:t>
      </w:r>
      <w:r w:rsidR="00F66723">
        <w:t xml:space="preserve">. </w:t>
      </w:r>
      <w:r w:rsidR="00644613">
        <w:t xml:space="preserve">5,638 </w:t>
      </w:r>
      <w:r w:rsidRPr="00CD40D2">
        <w:t>children and young people are supported by these local authorities</w:t>
      </w:r>
      <w:r w:rsidR="0022304B">
        <w:t xml:space="preserve"> that underwent budget cuts</w:t>
      </w:r>
      <w:r w:rsidRPr="00CD40D2">
        <w:t>.</w:t>
      </w:r>
    </w:p>
    <w:p w14:paraId="1C1B6EC1" w14:textId="71E81E9C" w:rsidR="008442C3" w:rsidRDefault="008C1788" w:rsidP="002B631C">
      <w:pPr>
        <w:pStyle w:val="ListBullet"/>
      </w:pPr>
      <w:r>
        <w:t>While half</w:t>
      </w:r>
      <w:r w:rsidR="008442C3">
        <w:t xml:space="preserve"> reported an increase </w:t>
      </w:r>
      <w:r>
        <w:t xml:space="preserve">in budgets </w:t>
      </w:r>
      <w:r w:rsidR="008442C3">
        <w:t>(</w:t>
      </w:r>
      <w:r w:rsidR="001A45CB">
        <w:t>54</w:t>
      </w:r>
      <w:r w:rsidR="008442C3">
        <w:t xml:space="preserve">%) and </w:t>
      </w:r>
      <w:r w:rsidR="001A45CB">
        <w:t>11</w:t>
      </w:r>
      <w:r w:rsidR="008442C3">
        <w:t>% reported a freeze.</w:t>
      </w:r>
    </w:p>
    <w:p w14:paraId="728B9DAE" w14:textId="39A99998" w:rsidR="008E0918" w:rsidRDefault="008E0918" w:rsidP="002B631C">
      <w:pPr>
        <w:pStyle w:val="ListBullet"/>
      </w:pPr>
      <w:r>
        <w:t>Of the local authorities that saw budgets cut in 2019, 29% saw an increase in budget in 2020</w:t>
      </w:r>
      <w:r w:rsidR="00A34228">
        <w:t xml:space="preserve"> while </w:t>
      </w:r>
      <w:r>
        <w:t>35% saw their budgets being cut further in 2020</w:t>
      </w:r>
    </w:p>
    <w:p w14:paraId="0B2B4D11" w14:textId="71D165A9" w:rsidR="008442C3" w:rsidRPr="00CD40D2" w:rsidRDefault="008442C3" w:rsidP="002B631C">
      <w:pPr>
        <w:pStyle w:val="ListBullet"/>
        <w:rPr>
          <w:i/>
          <w:iCs/>
        </w:rPr>
      </w:pPr>
      <w:r w:rsidRPr="00CD40D2">
        <w:t xml:space="preserve">13% of LA’s have identified changes in the past 12 months that have affected the way provisions for children and young people with </w:t>
      </w:r>
      <w:r w:rsidR="0075284F">
        <w:t xml:space="preserve">a </w:t>
      </w:r>
      <w:r w:rsidRPr="00CD40D2">
        <w:t>vision impairment are funded</w:t>
      </w:r>
      <w:r w:rsidR="0075284F">
        <w:t xml:space="preserve"> or</w:t>
      </w:r>
      <w:r w:rsidRPr="00CD40D2">
        <w:t xml:space="preserve"> organised. </w:t>
      </w:r>
    </w:p>
    <w:p w14:paraId="60AEC9B0" w14:textId="44C7B242" w:rsidR="008442C3" w:rsidRPr="002C59F8" w:rsidRDefault="008442C3" w:rsidP="002B631C">
      <w:pPr>
        <w:pStyle w:val="ListBullet"/>
      </w:pPr>
      <w:r w:rsidRPr="00CD40D2">
        <w:t>19% of local authorities have acknowledged current or proposed reviews of the VI service within the coming year that</w:t>
      </w:r>
      <w:r>
        <w:t xml:space="preserve"> may affect the way said services are organised, managed or funded. </w:t>
      </w:r>
    </w:p>
    <w:p w14:paraId="2C7C406D" w14:textId="77777777" w:rsidR="008442C3" w:rsidRDefault="008442C3" w:rsidP="008442C3">
      <w:pPr>
        <w:pStyle w:val="ListBullet"/>
        <w:numPr>
          <w:ilvl w:val="0"/>
          <w:numId w:val="0"/>
        </w:numPr>
      </w:pPr>
    </w:p>
    <w:p w14:paraId="35C0671F" w14:textId="77777777" w:rsidR="008442C3" w:rsidRDefault="008442C3" w:rsidP="008442C3">
      <w:pPr>
        <w:pStyle w:val="ListBullet"/>
        <w:numPr>
          <w:ilvl w:val="0"/>
          <w:numId w:val="0"/>
        </w:numPr>
        <w:jc w:val="both"/>
        <w:rPr>
          <w:bCs/>
        </w:rPr>
      </w:pPr>
      <w:r w:rsidRPr="00DD2B37">
        <w:rPr>
          <w:b/>
        </w:rPr>
        <w:t>Caseload and capacity</w:t>
      </w:r>
    </w:p>
    <w:p w14:paraId="0C0DFF97" w14:textId="5D782DC5" w:rsidR="008442C3" w:rsidRPr="003711B4" w:rsidRDefault="008442C3" w:rsidP="002B631C">
      <w:pPr>
        <w:pStyle w:val="ListBullet"/>
      </w:pPr>
      <w:r w:rsidRPr="003711B4">
        <w:t xml:space="preserve">The total number of children and young people on active vision impairment caseloads, or known to </w:t>
      </w:r>
      <w:r w:rsidR="00F7286B">
        <w:t xml:space="preserve">vision impairment </w:t>
      </w:r>
      <w:r w:rsidRPr="003711B4">
        <w:t xml:space="preserve">services, was 27,464 for 2020. This represents a 1% increase from 2019, and an overall 8% increase from 2017. </w:t>
      </w:r>
    </w:p>
    <w:p w14:paraId="65382247" w14:textId="4FE69770" w:rsidR="008442C3" w:rsidRPr="005533EF" w:rsidRDefault="008442C3" w:rsidP="002B631C">
      <w:pPr>
        <w:pStyle w:val="ListBullet"/>
      </w:pPr>
      <w:r w:rsidRPr="005533EF">
        <w:lastRenderedPageBreak/>
        <w:t>However, the real caseload figures are likely to be higher as 1</w:t>
      </w:r>
      <w:r w:rsidR="00A35649" w:rsidRPr="005533EF">
        <w:t>9</w:t>
      </w:r>
      <w:r w:rsidRPr="005533EF">
        <w:t xml:space="preserve"> local authorities did not respond to this year’s FOI.</w:t>
      </w:r>
    </w:p>
    <w:p w14:paraId="3587F72E" w14:textId="219FB194" w:rsidR="008442C3" w:rsidRPr="002F4608" w:rsidRDefault="008442C3" w:rsidP="002B631C">
      <w:pPr>
        <w:pStyle w:val="ListBullet"/>
        <w:rPr>
          <w:bCs/>
        </w:rPr>
      </w:pPr>
      <w:r w:rsidRPr="002F4608">
        <w:rPr>
          <w:bCs/>
        </w:rPr>
        <w:t>1</w:t>
      </w:r>
      <w:r w:rsidR="00B93F27" w:rsidRPr="002F4608">
        <w:rPr>
          <w:bCs/>
        </w:rPr>
        <w:t>1</w:t>
      </w:r>
      <w:r w:rsidRPr="002F4608">
        <w:rPr>
          <w:bCs/>
        </w:rPr>
        <w:t xml:space="preserve">% of 133 local authorities have a </w:t>
      </w:r>
      <w:r w:rsidRPr="002F4608">
        <w:t xml:space="preserve">QTVI caseload ratio of over 100. This is a </w:t>
      </w:r>
      <w:r w:rsidR="00957069" w:rsidRPr="002F4608">
        <w:t>3</w:t>
      </w:r>
      <w:r w:rsidRPr="002F4608">
        <w:t>% decrease from 2019.</w:t>
      </w:r>
    </w:p>
    <w:p w14:paraId="3C225D14" w14:textId="77777777" w:rsidR="008442C3" w:rsidRPr="005E5B86" w:rsidRDefault="008442C3" w:rsidP="002B631C">
      <w:pPr>
        <w:pStyle w:val="ListBullet"/>
        <w:rPr>
          <w:bCs/>
        </w:rPr>
      </w:pPr>
      <w:r w:rsidRPr="00275F6C">
        <w:t>36% of local authorities have reported an increase in full time QTVI’s</w:t>
      </w:r>
      <w:r w:rsidRPr="005E5B86">
        <w:t xml:space="preserve"> compared with 2019. </w:t>
      </w:r>
    </w:p>
    <w:p w14:paraId="0D59990B" w14:textId="77777777" w:rsidR="008442C3" w:rsidRPr="0088727E" w:rsidRDefault="008442C3" w:rsidP="002B631C">
      <w:pPr>
        <w:pStyle w:val="ListBullet"/>
        <w:rPr>
          <w:bCs/>
        </w:rPr>
      </w:pPr>
      <w:r w:rsidRPr="0088727E">
        <w:t>A similar proportion (35%) reported their QTVI numbers remained the same, and 29% reported a decrease.</w:t>
      </w:r>
    </w:p>
    <w:p w14:paraId="4150E721" w14:textId="6A35EA63" w:rsidR="008442C3" w:rsidRPr="004139CA" w:rsidRDefault="008442C3" w:rsidP="002B631C">
      <w:pPr>
        <w:pStyle w:val="ListBullet"/>
        <w:rPr>
          <w:bCs/>
        </w:rPr>
      </w:pPr>
      <w:r w:rsidRPr="004139CA">
        <w:rPr>
          <w:bCs/>
        </w:rPr>
        <w:t xml:space="preserve">Of the total number of FTE QTVI’s, </w:t>
      </w:r>
      <w:r w:rsidR="00473DAA">
        <w:rPr>
          <w:bCs/>
        </w:rPr>
        <w:t xml:space="preserve">including </w:t>
      </w:r>
      <w:r w:rsidRPr="004139CA">
        <w:rPr>
          <w:bCs/>
        </w:rPr>
        <w:t>those in training or due to begin training, there was a 1% decrease in 2020 compared to 2019.</w:t>
      </w:r>
    </w:p>
    <w:p w14:paraId="77CE464E" w14:textId="490B9ED1" w:rsidR="008442C3" w:rsidRDefault="008442C3" w:rsidP="008442C3">
      <w:pPr>
        <w:pStyle w:val="ListBullet"/>
        <w:numPr>
          <w:ilvl w:val="0"/>
          <w:numId w:val="0"/>
        </w:numPr>
        <w:ind w:left="360" w:hanging="360"/>
      </w:pPr>
    </w:p>
    <w:p w14:paraId="3F6C140C" w14:textId="77777777" w:rsidR="008442C3" w:rsidRDefault="008442C3" w:rsidP="008442C3">
      <w:pPr>
        <w:pStyle w:val="Heading1"/>
      </w:pPr>
      <w:bookmarkStart w:id="19" w:name="_Toc63761419"/>
      <w:r>
        <w:t>3. Method</w:t>
      </w:r>
      <w:bookmarkEnd w:id="19"/>
    </w:p>
    <w:p w14:paraId="40D636F1" w14:textId="6030B643" w:rsidR="00EC66C7" w:rsidRDefault="008442C3" w:rsidP="008442C3">
      <w:r>
        <w:t>In October 2020, RNIB contacted all 15</w:t>
      </w:r>
      <w:r w:rsidR="00790048">
        <w:t>1</w:t>
      </w:r>
      <w:r>
        <w:t xml:space="preserve"> local authorities in England, asking a range of questions about current and future education provision for children and young people with vision impairment. </w:t>
      </w:r>
      <w:r w:rsidR="00EC66C7">
        <w:t xml:space="preserve">After consultation with local sensory services we decided to issue this FOI in October </w:t>
      </w:r>
      <w:r w:rsidR="001C268E">
        <w:t xml:space="preserve">rather than earlier in the year </w:t>
      </w:r>
      <w:r w:rsidR="00EC66C7">
        <w:t xml:space="preserve">due to the pandemic. </w:t>
      </w:r>
    </w:p>
    <w:p w14:paraId="16D203B2" w14:textId="77777777" w:rsidR="00EC66C7" w:rsidRDefault="00EC66C7" w:rsidP="008442C3"/>
    <w:p w14:paraId="51794BE8" w14:textId="27FB1DBF" w:rsidR="008442C3" w:rsidRDefault="008442C3" w:rsidP="008442C3">
      <w:r>
        <w:t>133 of the 15</w:t>
      </w:r>
      <w:r w:rsidR="009B34DF">
        <w:t>1</w:t>
      </w:r>
      <w:r>
        <w:t xml:space="preserve"> local authorities in England responded or had a response provided from a consortium, </w:t>
      </w:r>
      <w:r w:rsidR="00254EDE">
        <w:t>giving a</w:t>
      </w:r>
      <w:r w:rsidR="00E41F98">
        <w:t>n</w:t>
      </w:r>
      <w:r w:rsidR="00254EDE">
        <w:t xml:space="preserve"> overall r</w:t>
      </w:r>
      <w:r>
        <w:t xml:space="preserve">esponse rate of </w:t>
      </w:r>
      <w:r w:rsidR="002B505F">
        <w:t>88</w:t>
      </w:r>
      <w:r>
        <w:t xml:space="preserve">%. This is a </w:t>
      </w:r>
      <w:r w:rsidR="00140F32">
        <w:t xml:space="preserve">decrease </w:t>
      </w:r>
      <w:r>
        <w:t xml:space="preserve">on the </w:t>
      </w:r>
      <w:r w:rsidR="00140F32">
        <w:t>97</w:t>
      </w:r>
      <w:r>
        <w:t>% response rate of 201</w:t>
      </w:r>
      <w:r w:rsidR="00140F32">
        <w:t>9</w:t>
      </w:r>
      <w:r>
        <w:t xml:space="preserve"> (Edwards, 2019).</w:t>
      </w:r>
      <w:r w:rsidR="004D2ACC">
        <w:t xml:space="preserve"> </w:t>
      </w:r>
    </w:p>
    <w:p w14:paraId="6ECE97D1" w14:textId="7E69A69C" w:rsidR="00F52847" w:rsidRDefault="00F52847" w:rsidP="00D77DDD"/>
    <w:p w14:paraId="784637C5" w14:textId="77777777" w:rsidR="003E707E" w:rsidRDefault="003E707E" w:rsidP="003E707E">
      <w:pPr>
        <w:pStyle w:val="Heading1"/>
      </w:pPr>
      <w:bookmarkStart w:id="20" w:name="_Toc63761420"/>
      <w:r>
        <w:t>4. Findings</w:t>
      </w:r>
      <w:bookmarkEnd w:id="20"/>
    </w:p>
    <w:p w14:paraId="36969C11" w14:textId="68BDDCA4" w:rsidR="00706689" w:rsidRDefault="003E707E" w:rsidP="00375F76">
      <w:pPr>
        <w:pStyle w:val="Heading2"/>
      </w:pPr>
      <w:bookmarkStart w:id="21" w:name="_Toc63761421"/>
      <w:r>
        <w:t>4.1 Service provision and organisation</w:t>
      </w:r>
      <w:bookmarkEnd w:id="21"/>
    </w:p>
    <w:p w14:paraId="24F375D3" w14:textId="77777777" w:rsidR="003E707E" w:rsidRDefault="003E707E" w:rsidP="003E707E">
      <w:pPr>
        <w:pStyle w:val="Heading3"/>
      </w:pPr>
      <w:r>
        <w:t>Funding arrangement</w:t>
      </w:r>
    </w:p>
    <w:p w14:paraId="1A7E4E1A" w14:textId="4D6EC98F" w:rsidR="003E707E" w:rsidRDefault="003E707E" w:rsidP="003E707E">
      <w:r>
        <w:t>Of the 1</w:t>
      </w:r>
      <w:r w:rsidR="00551040">
        <w:t>33</w:t>
      </w:r>
      <w:r>
        <w:t xml:space="preserve"> local authorities that responded to the FOI request, </w:t>
      </w:r>
      <w:r w:rsidR="00551040">
        <w:t>94</w:t>
      </w:r>
      <w:r>
        <w:t>% centrally fund specialist support for pupils with vision impairment.</w:t>
      </w:r>
      <w:r w:rsidR="006D29C0">
        <w:t xml:space="preserve"> </w:t>
      </w:r>
      <w:r>
        <w:t xml:space="preserve">A minority (3%) of local authorities said they partially delegated some or all of their funding to individual schools who purchased specialist support under the ‘traded services’ arrangement. </w:t>
      </w:r>
    </w:p>
    <w:p w14:paraId="3B8A3FC2" w14:textId="77777777" w:rsidR="003E707E" w:rsidRDefault="003E707E" w:rsidP="003E707E"/>
    <w:p w14:paraId="1F049179" w14:textId="6C352E61" w:rsidR="003E707E" w:rsidRDefault="003E707E" w:rsidP="003E707E">
      <w:r w:rsidRPr="006F1E36">
        <w:t xml:space="preserve">In total, </w:t>
      </w:r>
      <w:r w:rsidR="0001123D" w:rsidRPr="006F1E36">
        <w:t xml:space="preserve">just 11% of local </w:t>
      </w:r>
      <w:r w:rsidRPr="006F1E36">
        <w:t>authorities provided additional comments regarding their funding arrangements. Common themes include</w:t>
      </w:r>
      <w:r w:rsidR="000E101D" w:rsidRPr="006F1E36">
        <w:t xml:space="preserve"> </w:t>
      </w:r>
      <w:r w:rsidR="006F1E36">
        <w:t xml:space="preserve">funding from </w:t>
      </w:r>
      <w:r w:rsidR="000E101D" w:rsidRPr="006F1E36">
        <w:t>D</w:t>
      </w:r>
      <w:r w:rsidR="00661A3B">
        <w:t xml:space="preserve">elegated </w:t>
      </w:r>
      <w:r w:rsidR="000E101D" w:rsidRPr="006F1E36">
        <w:t>S</w:t>
      </w:r>
      <w:r w:rsidR="00661A3B">
        <w:t xml:space="preserve">chools </w:t>
      </w:r>
      <w:r w:rsidR="000E101D" w:rsidRPr="006F1E36">
        <w:t>G</w:t>
      </w:r>
      <w:r w:rsidR="00661A3B">
        <w:t>rant</w:t>
      </w:r>
      <w:r w:rsidR="00E83397">
        <w:t xml:space="preserve"> and </w:t>
      </w:r>
      <w:r w:rsidR="008575C2">
        <w:t>H</w:t>
      </w:r>
      <w:r w:rsidR="00F073A4" w:rsidRPr="006F1E36">
        <w:t xml:space="preserve">igh </w:t>
      </w:r>
      <w:r w:rsidR="008575C2">
        <w:t>N</w:t>
      </w:r>
      <w:r w:rsidR="00F073A4" w:rsidRPr="006F1E36">
        <w:t xml:space="preserve">eeds </w:t>
      </w:r>
      <w:r w:rsidR="008575C2">
        <w:t>B</w:t>
      </w:r>
      <w:r w:rsidR="00F073A4" w:rsidRPr="006F1E36">
        <w:t>udget</w:t>
      </w:r>
      <w:r w:rsidR="006F1E36" w:rsidRPr="006F1E36">
        <w:t xml:space="preserve"> </w:t>
      </w:r>
      <w:r w:rsidR="008575C2">
        <w:t>agreed by directorate</w:t>
      </w:r>
      <w:r w:rsidR="00C05330">
        <w:t xml:space="preserve"> or centrally managed team</w:t>
      </w:r>
      <w:r w:rsidR="00513D7C">
        <w:t xml:space="preserve">, </w:t>
      </w:r>
      <w:r w:rsidRPr="006F1E36">
        <w:t>traded services</w:t>
      </w:r>
      <w:r w:rsidR="00B028B3">
        <w:t xml:space="preserve"> fo</w:t>
      </w:r>
      <w:r w:rsidR="00DD3EDA">
        <w:t xml:space="preserve">r </w:t>
      </w:r>
      <w:r w:rsidR="00B028B3">
        <w:t>sixth form colleges</w:t>
      </w:r>
      <w:r w:rsidRPr="006F1E36">
        <w:t xml:space="preserve"> </w:t>
      </w:r>
      <w:r w:rsidR="00513D7C">
        <w:t>and funding dependent on number of VI</w:t>
      </w:r>
      <w:r w:rsidR="00F67AD4">
        <w:t xml:space="preserve"> children. </w:t>
      </w:r>
      <w:r w:rsidR="00513D7C">
        <w:t xml:space="preserve"> </w:t>
      </w:r>
    </w:p>
    <w:p w14:paraId="170FABA1" w14:textId="77777777" w:rsidR="0017106F" w:rsidRDefault="0017106F" w:rsidP="00B45800"/>
    <w:p w14:paraId="0D4D84D5" w14:textId="577AA4C3" w:rsidR="003E707E" w:rsidRDefault="003E707E" w:rsidP="003E707E">
      <w:pPr>
        <w:pStyle w:val="Heading3"/>
      </w:pPr>
      <w:r>
        <w:lastRenderedPageBreak/>
        <w:t>Changes to provision</w:t>
      </w:r>
    </w:p>
    <w:p w14:paraId="71EDA9DB" w14:textId="77777777" w:rsidR="003E707E" w:rsidRDefault="003E707E" w:rsidP="003E707E">
      <w:pPr>
        <w:pStyle w:val="Heading4"/>
      </w:pPr>
      <w:r>
        <w:t>Past changes to provision</w:t>
      </w:r>
    </w:p>
    <w:p w14:paraId="459A2587" w14:textId="6B9FDFE8" w:rsidR="003E707E" w:rsidRDefault="00B25741" w:rsidP="003E707E">
      <w:r>
        <w:t xml:space="preserve">Over the past 12 months only </w:t>
      </w:r>
      <w:r w:rsidR="003E707E">
        <w:t>12% of local authorities have made changes to the way provision for children and young people with vision impairment is funded or organise</w:t>
      </w:r>
      <w:r w:rsidR="00632108">
        <w:t>d</w:t>
      </w:r>
      <w:r w:rsidR="003E707E">
        <w:t xml:space="preserve">. </w:t>
      </w:r>
    </w:p>
    <w:p w14:paraId="6F5DA9BC" w14:textId="77458535" w:rsidR="00742595" w:rsidRDefault="00742595" w:rsidP="003E707E"/>
    <w:p w14:paraId="2192FDCF" w14:textId="3860073F" w:rsidR="00EB548E" w:rsidRDefault="00742595" w:rsidP="003E707E">
      <w:r>
        <w:t xml:space="preserve">Changes </w:t>
      </w:r>
      <w:r w:rsidR="000254B6">
        <w:t>amongst</w:t>
      </w:r>
      <w:r>
        <w:t xml:space="preserve"> half of these local authorities were largely negativ</w:t>
      </w:r>
      <w:r w:rsidR="008B5733">
        <w:t>e.</w:t>
      </w:r>
      <w:r w:rsidR="00C8775B">
        <w:t xml:space="preserve"> </w:t>
      </w:r>
      <w:r w:rsidR="00990788">
        <w:t xml:space="preserve">For </w:t>
      </w:r>
      <w:r w:rsidR="00660D27">
        <w:t>example,</w:t>
      </w:r>
      <w:r w:rsidR="00BB7F62">
        <w:t xml:space="preserve"> </w:t>
      </w:r>
      <w:r w:rsidR="006E0CF6">
        <w:t xml:space="preserve">four </w:t>
      </w:r>
      <w:r w:rsidR="00EB548E">
        <w:t xml:space="preserve">authorities </w:t>
      </w:r>
      <w:r w:rsidR="00B77503">
        <w:t>identified a restructure</w:t>
      </w:r>
      <w:r w:rsidR="009337AE">
        <w:t xml:space="preserve"> that removed severa</w:t>
      </w:r>
      <w:r w:rsidR="00CC30FB">
        <w:t xml:space="preserve">l managerial </w:t>
      </w:r>
      <w:r w:rsidR="003C7841">
        <w:t>roles</w:t>
      </w:r>
      <w:r w:rsidR="00CC30FB">
        <w:t xml:space="preserve"> within the team </w:t>
      </w:r>
      <w:r w:rsidR="00B97B4F">
        <w:t>leading to “</w:t>
      </w:r>
      <w:r w:rsidR="00B97B4F" w:rsidRPr="00B97B4F">
        <w:t>changes to criteria for involvement</w:t>
      </w:r>
      <w:r w:rsidR="00B97B4F">
        <w:t xml:space="preserve">”. </w:t>
      </w:r>
      <w:r w:rsidR="003C7841">
        <w:t xml:space="preserve">Another </w:t>
      </w:r>
      <w:r w:rsidR="00B97B4F">
        <w:t xml:space="preserve">authority </w:t>
      </w:r>
      <w:r w:rsidR="003C7841">
        <w:t>identified the “d</w:t>
      </w:r>
      <w:r w:rsidR="00EB548E" w:rsidRPr="00EB548E">
        <w:t>e</w:t>
      </w:r>
      <w:r w:rsidR="00642DCD">
        <w:t>-</w:t>
      </w:r>
      <w:r w:rsidR="00EB548E" w:rsidRPr="00EB548E">
        <w:t>com</w:t>
      </w:r>
      <w:r w:rsidR="00642DCD">
        <w:t>m</w:t>
      </w:r>
      <w:r w:rsidR="00EB548E" w:rsidRPr="00EB548E">
        <w:t>iss</w:t>
      </w:r>
      <w:r w:rsidR="00642DCD">
        <w:t>ion</w:t>
      </w:r>
      <w:r w:rsidR="00EB548E" w:rsidRPr="00EB548E">
        <w:t xml:space="preserve">ing of the primary Sensory Resourced </w:t>
      </w:r>
      <w:r w:rsidR="00C71822" w:rsidRPr="00EB548E">
        <w:t>Provision</w:t>
      </w:r>
      <w:r w:rsidR="003C7841">
        <w:t>” all togeth</w:t>
      </w:r>
      <w:r w:rsidR="00190A99">
        <w:t>er.</w:t>
      </w:r>
    </w:p>
    <w:p w14:paraId="284A5FD1" w14:textId="484A9AAF" w:rsidR="00D26311" w:rsidRDefault="00D26311" w:rsidP="003E707E"/>
    <w:p w14:paraId="711D0988" w14:textId="1E38AA79" w:rsidR="00D26311" w:rsidRDefault="00DF58BC" w:rsidP="003E707E">
      <w:r>
        <w:t xml:space="preserve">Two authorities have </w:t>
      </w:r>
      <w:r w:rsidRPr="00DF58BC">
        <w:t xml:space="preserve">combined </w:t>
      </w:r>
      <w:r>
        <w:t xml:space="preserve">their sensory service </w:t>
      </w:r>
      <w:r w:rsidRPr="00DF58BC">
        <w:t>with hearing support service</w:t>
      </w:r>
      <w:r w:rsidR="00872C6E">
        <w:t xml:space="preserve"> which is </w:t>
      </w:r>
      <w:r w:rsidR="009F7404">
        <w:t xml:space="preserve">being led by a single </w:t>
      </w:r>
      <w:r w:rsidRPr="00DF58BC">
        <w:t>VI qualified</w:t>
      </w:r>
      <w:r w:rsidR="009F7404">
        <w:t xml:space="preserve"> manager</w:t>
      </w:r>
      <w:r w:rsidRPr="00DF58BC">
        <w:t>.</w:t>
      </w:r>
      <w:r w:rsidR="00872C6E">
        <w:t xml:space="preserve"> While </w:t>
      </w:r>
      <w:r w:rsidR="00B92B76">
        <w:t xml:space="preserve">another authority has introduced a new </w:t>
      </w:r>
      <w:r w:rsidR="00B92B76" w:rsidRPr="00B92B76">
        <w:t xml:space="preserve">banding system </w:t>
      </w:r>
      <w:r w:rsidR="00373E6C">
        <w:t>to</w:t>
      </w:r>
      <w:r w:rsidR="006609E2">
        <w:t xml:space="preserve"> “</w:t>
      </w:r>
      <w:r w:rsidR="00B92B76" w:rsidRPr="00B92B76">
        <w:t>better identify and allocate top up funding for children with special educational needs in mainstream schools</w:t>
      </w:r>
      <w:r w:rsidR="00B92B76">
        <w:t>”</w:t>
      </w:r>
      <w:r w:rsidR="00B92B76" w:rsidRPr="00B92B76">
        <w:t>.</w:t>
      </w:r>
      <w:r w:rsidR="00B92B76">
        <w:t xml:space="preserve"> It is unclear as to how this will effect</w:t>
      </w:r>
      <w:r w:rsidR="0053189C">
        <w:t xml:space="preserve"> </w:t>
      </w:r>
      <w:r w:rsidR="00B92B76">
        <w:t>services</w:t>
      </w:r>
      <w:r w:rsidR="00E62D0D">
        <w:t xml:space="preserve"> provided. </w:t>
      </w:r>
    </w:p>
    <w:p w14:paraId="0B65750E" w14:textId="4E4841CC" w:rsidR="00B97B4F" w:rsidRDefault="00B97B4F" w:rsidP="003E707E"/>
    <w:p w14:paraId="4511134A" w14:textId="63C7FC96" w:rsidR="00B97B4F" w:rsidRDefault="00BD1040" w:rsidP="003E707E">
      <w:r>
        <w:t xml:space="preserve">Five authorities </w:t>
      </w:r>
      <w:r w:rsidR="00A71611">
        <w:t xml:space="preserve">identified COVID as being the </w:t>
      </w:r>
      <w:r w:rsidR="001757D3">
        <w:t xml:space="preserve">key </w:t>
      </w:r>
      <w:r w:rsidR="00A71611">
        <w:t>driving force behind</w:t>
      </w:r>
      <w:r w:rsidR="00D26311">
        <w:t xml:space="preserve"> their</w:t>
      </w:r>
      <w:r w:rsidR="001757D3">
        <w:t xml:space="preserve"> </w:t>
      </w:r>
      <w:r w:rsidR="00EC316B">
        <w:t>decision</w:t>
      </w:r>
      <w:r w:rsidR="001757D3">
        <w:t xml:space="preserve"> of delivering a more virtual service</w:t>
      </w:r>
      <w:r w:rsidR="0031133C">
        <w:t xml:space="preserve">. One authority </w:t>
      </w:r>
      <w:r w:rsidR="001757D3">
        <w:t>stated,</w:t>
      </w:r>
      <w:r w:rsidR="0031133C">
        <w:t xml:space="preserve"> “p</w:t>
      </w:r>
      <w:r w:rsidR="0031133C" w:rsidRPr="0031133C">
        <w:t xml:space="preserve">rovision and organisation moved to virtual platforms, enhanced telephone contact in relation to COVID however since September school visits have been reinstated and home </w:t>
      </w:r>
      <w:r w:rsidR="0071016F" w:rsidRPr="0031133C">
        <w:t>visits</w:t>
      </w:r>
      <w:r w:rsidR="0031133C" w:rsidRPr="0031133C">
        <w:t xml:space="preserve"> where a virtual alternative will not meet intended outcomes</w:t>
      </w:r>
      <w:r w:rsidR="0031133C">
        <w:t>”.</w:t>
      </w:r>
      <w:r w:rsidR="00A71611">
        <w:t xml:space="preserve"> </w:t>
      </w:r>
    </w:p>
    <w:p w14:paraId="3F8EF656" w14:textId="77777777" w:rsidR="003E707E" w:rsidRDefault="003E707E" w:rsidP="003E707E"/>
    <w:p w14:paraId="6A8D1C0E" w14:textId="568E879A" w:rsidR="003E707E" w:rsidRPr="00D62AEA" w:rsidRDefault="003E707E" w:rsidP="003E707E">
      <w:pPr>
        <w:rPr>
          <w:b/>
        </w:rPr>
      </w:pPr>
      <w:r>
        <w:rPr>
          <w:b/>
        </w:rPr>
        <w:t>Consultations on past change</w:t>
      </w:r>
      <w:r w:rsidR="006D7BEC">
        <w:rPr>
          <w:b/>
        </w:rPr>
        <w:t>s</w:t>
      </w:r>
      <w:r>
        <w:rPr>
          <w:b/>
        </w:rPr>
        <w:t xml:space="preserve"> to provision</w:t>
      </w:r>
    </w:p>
    <w:p w14:paraId="0FFA235D" w14:textId="6680C5BE" w:rsidR="000F10AF" w:rsidRDefault="003E707E" w:rsidP="003E707E">
      <w:r>
        <w:t>Of the 1</w:t>
      </w:r>
      <w:r w:rsidR="00FF37C1">
        <w:t>3</w:t>
      </w:r>
      <w:r>
        <w:t xml:space="preserve">% of local authorities who have made changes to the way provision </w:t>
      </w:r>
      <w:r w:rsidR="00E52D1D">
        <w:t xml:space="preserve">for VI </w:t>
      </w:r>
      <w:r w:rsidR="003E715F">
        <w:t>are</w:t>
      </w:r>
      <w:r>
        <w:t xml:space="preserve"> funded or organised</w:t>
      </w:r>
      <w:r w:rsidR="003E715F">
        <w:t>,</w:t>
      </w:r>
      <w:r w:rsidR="000F10AF">
        <w:t xml:space="preserve"> </w:t>
      </w:r>
      <w:r w:rsidR="003D2FA0">
        <w:t>just over a quarter said they consulted with parents</w:t>
      </w:r>
      <w:r w:rsidR="00F7286B">
        <w:t xml:space="preserve"> about these changes</w:t>
      </w:r>
      <w:r w:rsidR="00BF6AAD">
        <w:t>. O</w:t>
      </w:r>
      <w:r w:rsidR="00E05F7F">
        <w:t xml:space="preserve">ver a third (35%) </w:t>
      </w:r>
      <w:r>
        <w:t xml:space="preserve">consulted with </w:t>
      </w:r>
      <w:r w:rsidR="00D44DC0">
        <w:t xml:space="preserve">both </w:t>
      </w:r>
      <w:r>
        <w:t xml:space="preserve">parents </w:t>
      </w:r>
      <w:r w:rsidR="00D44DC0">
        <w:t>and</w:t>
      </w:r>
      <w:r>
        <w:t xml:space="preserve"> VI organisations when making changes to VI service provision</w:t>
      </w:r>
      <w:r w:rsidR="00D44DC0">
        <w:t>s</w:t>
      </w:r>
      <w:r>
        <w:t xml:space="preserve">. </w:t>
      </w:r>
    </w:p>
    <w:p w14:paraId="3B131AF2" w14:textId="77777777" w:rsidR="000F10AF" w:rsidRDefault="000F10AF" w:rsidP="003E707E"/>
    <w:p w14:paraId="21463DA6" w14:textId="346C7587" w:rsidR="003E707E" w:rsidRDefault="003E707E" w:rsidP="003E707E">
      <w:r>
        <w:t>However,</w:t>
      </w:r>
      <w:r w:rsidR="00F62A70">
        <w:t xml:space="preserve"> </w:t>
      </w:r>
      <w:r w:rsidR="00E57D0A">
        <w:t>47</w:t>
      </w:r>
      <w:r>
        <w:t>% of</w:t>
      </w:r>
      <w:r w:rsidR="00F62A70">
        <w:t xml:space="preserve"> </w:t>
      </w:r>
      <w:r w:rsidR="004E5A21">
        <w:t xml:space="preserve">local authorities said they did not consult with either parents </w:t>
      </w:r>
      <w:r w:rsidR="00A74C74">
        <w:t>or</w:t>
      </w:r>
      <w:r>
        <w:t xml:space="preserve"> VI organisations. </w:t>
      </w:r>
    </w:p>
    <w:p w14:paraId="1EB7CDA4" w14:textId="77777777" w:rsidR="003E707E" w:rsidRDefault="003E707E" w:rsidP="003E707E"/>
    <w:p w14:paraId="20556747" w14:textId="6403BA2A" w:rsidR="00DE0C79" w:rsidRDefault="003E707E" w:rsidP="003E707E">
      <w:r>
        <w:t>Most local authorities who made changes to provision</w:t>
      </w:r>
      <w:r w:rsidR="00AF126C">
        <w:t>s</w:t>
      </w:r>
      <w:r>
        <w:t xml:space="preserve"> did not provide reasons for their decision to consult, or not consult, parents and VI organisations.</w:t>
      </w:r>
      <w:r w:rsidR="00264277">
        <w:t xml:space="preserve"> </w:t>
      </w:r>
      <w:r w:rsidR="006577B7">
        <w:t xml:space="preserve">Of those who did provide an explanation, </w:t>
      </w:r>
      <w:r w:rsidR="006826C5">
        <w:t>three</w:t>
      </w:r>
      <w:r w:rsidR="001655D5">
        <w:t xml:space="preserve"> local author</w:t>
      </w:r>
      <w:r w:rsidR="00EF6840">
        <w:t>ities sa</w:t>
      </w:r>
      <w:r w:rsidR="006826C5">
        <w:t xml:space="preserve">id </w:t>
      </w:r>
      <w:r w:rsidR="00865CEE">
        <w:t>they consulted with parents</w:t>
      </w:r>
      <w:r w:rsidR="001F00EF">
        <w:t xml:space="preserve">, VI and </w:t>
      </w:r>
      <w:r w:rsidR="00DA223D" w:rsidRPr="00DA223D">
        <w:t>other SEN specialism advisory team</w:t>
      </w:r>
      <w:r w:rsidR="00BE27C6">
        <w:t xml:space="preserve">s </w:t>
      </w:r>
      <w:r w:rsidR="00865CEE">
        <w:t>regarding the</w:t>
      </w:r>
      <w:r w:rsidR="00DE0C79">
        <w:t>ir satisfaction with the previous structure before implementing new changes.</w:t>
      </w:r>
    </w:p>
    <w:p w14:paraId="1307EB66" w14:textId="40E15A63" w:rsidR="009F144F" w:rsidRDefault="00EF6840" w:rsidP="003E707E">
      <w:r>
        <w:lastRenderedPageBreak/>
        <w:t xml:space="preserve"> </w:t>
      </w:r>
    </w:p>
    <w:p w14:paraId="215D0803" w14:textId="493800E0" w:rsidR="00264277" w:rsidRDefault="001655D5" w:rsidP="003E707E">
      <w:r>
        <w:t xml:space="preserve">A further </w:t>
      </w:r>
      <w:r w:rsidR="006577B7">
        <w:t>two local authorities s</w:t>
      </w:r>
      <w:r w:rsidR="00492F51">
        <w:t xml:space="preserve">tated that there was </w:t>
      </w:r>
      <w:r w:rsidR="00972AED">
        <w:t>no need for consultation as it was a</w:t>
      </w:r>
      <w:r w:rsidR="000D1CC1">
        <w:t xml:space="preserve"> “</w:t>
      </w:r>
      <w:r w:rsidR="004117A3">
        <w:t>restructure of management</w:t>
      </w:r>
      <w:r w:rsidR="000D1CC1">
        <w:t xml:space="preserve">” with no changes to the level of </w:t>
      </w:r>
      <w:r w:rsidR="003C0E38">
        <w:t>Q</w:t>
      </w:r>
      <w:r w:rsidR="00AC5893">
        <w:t xml:space="preserve">TVI </w:t>
      </w:r>
      <w:r w:rsidR="000D1CC1">
        <w:t xml:space="preserve">support being received. </w:t>
      </w:r>
    </w:p>
    <w:p w14:paraId="47927F4E" w14:textId="77777777" w:rsidR="003E707E" w:rsidRDefault="003E707E" w:rsidP="003E707E"/>
    <w:p w14:paraId="5A2AA921" w14:textId="77777777" w:rsidR="003E707E" w:rsidRPr="00D62AEA" w:rsidRDefault="003E707E" w:rsidP="003E707E">
      <w:pPr>
        <w:pStyle w:val="Heading4"/>
      </w:pPr>
      <w:r w:rsidRPr="002D20ED">
        <w:t>Proposed changes to provision</w:t>
      </w:r>
    </w:p>
    <w:p w14:paraId="31A73001" w14:textId="23403AE7" w:rsidR="003E707E" w:rsidRDefault="003E707E" w:rsidP="003E707E">
      <w:r>
        <w:t>Of the 1</w:t>
      </w:r>
      <w:r w:rsidR="000A19BF">
        <w:t>2</w:t>
      </w:r>
      <w:r>
        <w:t xml:space="preserve">9 local authorities who responded to this question, </w:t>
      </w:r>
      <w:r w:rsidR="00122648">
        <w:t>less than a</w:t>
      </w:r>
      <w:r w:rsidR="00FB2449">
        <w:t xml:space="preserve"> </w:t>
      </w:r>
      <w:r>
        <w:t>quarter (</w:t>
      </w:r>
      <w:r w:rsidR="00FB2449">
        <w:t>19</w:t>
      </w:r>
      <w:r>
        <w:t xml:space="preserve">%) said there were current or proposed reviews of the VI service that will affect the way it is organised, managed or funded. </w:t>
      </w:r>
      <w:r w:rsidR="00FB2449">
        <w:t>6</w:t>
      </w:r>
      <w:r>
        <w:t xml:space="preserve">% didn’t know whether there were any current or proposed reviews of the service and </w:t>
      </w:r>
      <w:r w:rsidR="00FB2449">
        <w:t>74</w:t>
      </w:r>
      <w:r>
        <w:t xml:space="preserve">% did not have </w:t>
      </w:r>
      <w:r w:rsidR="00C6278A">
        <w:t xml:space="preserve">any </w:t>
      </w:r>
      <w:r>
        <w:t>current or proposed reviews.</w:t>
      </w:r>
    </w:p>
    <w:p w14:paraId="75E9681B" w14:textId="77777777" w:rsidR="003E707E" w:rsidRDefault="003E707E" w:rsidP="003E707E"/>
    <w:p w14:paraId="581EEBCA" w14:textId="7CEE90CB" w:rsidR="009510C3" w:rsidRDefault="003E707E" w:rsidP="003E707E">
      <w:r>
        <w:t xml:space="preserve">Further information was provided by the </w:t>
      </w:r>
      <w:r w:rsidR="009A0BE0">
        <w:t>19</w:t>
      </w:r>
      <w:r>
        <w:t>% of local authorities who have current or proposed reviews</w:t>
      </w:r>
      <w:r w:rsidR="0076727B">
        <w:t>.</w:t>
      </w:r>
      <w:r w:rsidR="00B60852">
        <w:t xml:space="preserve"> Three local authorities have already conducted </w:t>
      </w:r>
      <w:r w:rsidR="006B685E">
        <w:t>reviews but</w:t>
      </w:r>
      <w:r w:rsidR="00B60852">
        <w:t xml:space="preserve"> are unable to implement</w:t>
      </w:r>
      <w:r w:rsidR="001A1D6C">
        <w:t xml:space="preserve"> </w:t>
      </w:r>
      <w:r w:rsidR="00826CAA">
        <w:t xml:space="preserve">the </w:t>
      </w:r>
      <w:r w:rsidR="001A1D6C">
        <w:t>proposed</w:t>
      </w:r>
      <w:r w:rsidR="00B60852">
        <w:t xml:space="preserve"> changes relating to </w:t>
      </w:r>
      <w:r w:rsidR="001A1D6C">
        <w:t xml:space="preserve">VI/ SEN </w:t>
      </w:r>
      <w:r w:rsidR="00B60852">
        <w:t xml:space="preserve">services due </w:t>
      </w:r>
      <w:r w:rsidR="001A1D6C">
        <w:t xml:space="preserve">to </w:t>
      </w:r>
      <w:r w:rsidR="00B60852">
        <w:t xml:space="preserve">circumstances surrounding COVID- 19.   </w:t>
      </w:r>
    </w:p>
    <w:p w14:paraId="6249D902" w14:textId="79496488" w:rsidR="006B685E" w:rsidRDefault="006B685E" w:rsidP="003E707E"/>
    <w:p w14:paraId="41ED85E1" w14:textId="5C770DEC" w:rsidR="00947949" w:rsidRPr="002D20ED" w:rsidRDefault="0077699C" w:rsidP="00947949">
      <w:r w:rsidRPr="002D20ED">
        <w:t>Of the remining local authorities, f</w:t>
      </w:r>
      <w:r w:rsidR="006B685E" w:rsidRPr="002D20ED">
        <w:t>ou</w:t>
      </w:r>
      <w:r w:rsidRPr="002D20ED">
        <w:t xml:space="preserve">r </w:t>
      </w:r>
      <w:r w:rsidR="006B685E" w:rsidRPr="002D20ED">
        <w:t xml:space="preserve">have </w:t>
      </w:r>
      <w:r w:rsidR="008F29C7" w:rsidRPr="002D20ED">
        <w:t>proposed</w:t>
      </w:r>
      <w:r w:rsidR="006B685E" w:rsidRPr="002D20ED">
        <w:t xml:space="preserve"> </w:t>
      </w:r>
      <w:r w:rsidR="00666C33" w:rsidRPr="002D20ED">
        <w:t xml:space="preserve">changes to </w:t>
      </w:r>
      <w:r w:rsidR="00B351B5" w:rsidRPr="002D20ED">
        <w:t>the way</w:t>
      </w:r>
      <w:r w:rsidR="002D20ED" w:rsidRPr="002D20ED">
        <w:t xml:space="preserve"> funding is distributed, 3 indicated a change in the current </w:t>
      </w:r>
      <w:r w:rsidR="006B685E" w:rsidRPr="002D20ED">
        <w:t>staffing model</w:t>
      </w:r>
      <w:r w:rsidR="008F29C7" w:rsidRPr="002D20ED">
        <w:t>s</w:t>
      </w:r>
      <w:r w:rsidR="00CD36AF" w:rsidRPr="002D20ED">
        <w:t xml:space="preserve">, while </w:t>
      </w:r>
      <w:r w:rsidR="00101F30" w:rsidRPr="002D20ED">
        <w:t xml:space="preserve">reviews for </w:t>
      </w:r>
      <w:r w:rsidR="00CD36AF" w:rsidRPr="002D20ED">
        <w:t xml:space="preserve">two other authorities </w:t>
      </w:r>
      <w:r w:rsidR="000051B8" w:rsidRPr="002D20ED">
        <w:t xml:space="preserve">have </w:t>
      </w:r>
      <w:r w:rsidR="00EF3FD9" w:rsidRPr="002D20ED">
        <w:t xml:space="preserve">suggested </w:t>
      </w:r>
      <w:r w:rsidR="000051B8" w:rsidRPr="002D20ED">
        <w:t xml:space="preserve">a </w:t>
      </w:r>
      <w:r w:rsidR="00947949" w:rsidRPr="002D20ED">
        <w:t xml:space="preserve">reduction of services such as QTVI and SEN. </w:t>
      </w:r>
    </w:p>
    <w:p w14:paraId="613FCD3B" w14:textId="42051C86" w:rsidR="003E707E" w:rsidRPr="002D20ED" w:rsidRDefault="002977DD" w:rsidP="003E707E">
      <w:pPr>
        <w:rPr>
          <w:highlight w:val="green"/>
        </w:rPr>
      </w:pPr>
      <w:r w:rsidRPr="000051B8">
        <w:rPr>
          <w:highlight w:val="green"/>
        </w:rPr>
        <w:t xml:space="preserve"> </w:t>
      </w:r>
    </w:p>
    <w:p w14:paraId="67B12B65" w14:textId="77777777" w:rsidR="003E707E" w:rsidRDefault="003E707E" w:rsidP="003E707E">
      <w:pPr>
        <w:pStyle w:val="Heading3"/>
      </w:pPr>
      <w:r w:rsidRPr="00EE1A85">
        <w:t>Budgets</w:t>
      </w:r>
    </w:p>
    <w:p w14:paraId="12DAAF2A" w14:textId="050BB2AA" w:rsidR="003E707E" w:rsidRDefault="003E707E" w:rsidP="003E707E">
      <w:r>
        <w:t>In the 20</w:t>
      </w:r>
      <w:r w:rsidR="00CA5BF5">
        <w:t>20</w:t>
      </w:r>
      <w:r>
        <w:t xml:space="preserve"> FOI request, we asked authorities to provide the service budget across three separate years, 2018/19</w:t>
      </w:r>
      <w:r w:rsidR="00CA5BF5">
        <w:t xml:space="preserve">, </w:t>
      </w:r>
      <w:r>
        <w:t>2019/20</w:t>
      </w:r>
      <w:r w:rsidR="00CA5BF5">
        <w:t xml:space="preserve"> and 2020/21</w:t>
      </w:r>
      <w:r>
        <w:t xml:space="preserve">. </w:t>
      </w:r>
    </w:p>
    <w:p w14:paraId="6A7EA031" w14:textId="77777777" w:rsidR="003E707E" w:rsidRDefault="003E707E" w:rsidP="003E707E"/>
    <w:p w14:paraId="16D47203" w14:textId="06AF3105" w:rsidR="003E707E" w:rsidRDefault="003E707E" w:rsidP="003E707E">
      <w:r>
        <w:t>Out of the total 15</w:t>
      </w:r>
      <w:r w:rsidR="00953947">
        <w:t>1</w:t>
      </w:r>
      <w:r>
        <w:t xml:space="preserve"> authorities in England, three quarters have provided budget information. Not all were able to provide all years requested and not all were able to separate the service budget specifically for vision impairment education services from the sensory support budget</w:t>
      </w:r>
      <w:r w:rsidR="00A8771E">
        <w:t xml:space="preserve"> or other combined budgets</w:t>
      </w:r>
      <w:r>
        <w:t xml:space="preserve">. </w:t>
      </w:r>
    </w:p>
    <w:p w14:paraId="6F269A61" w14:textId="77777777" w:rsidR="003E707E" w:rsidRDefault="003E707E" w:rsidP="003E707E">
      <w:pPr>
        <w:rPr>
          <w:b/>
        </w:rPr>
      </w:pPr>
    </w:p>
    <w:p w14:paraId="36FD6B68" w14:textId="77777777" w:rsidR="003E707E" w:rsidRPr="001528B9" w:rsidRDefault="003E707E" w:rsidP="003E707E">
      <w:pPr>
        <w:rPr>
          <w:b/>
        </w:rPr>
      </w:pPr>
      <w:r w:rsidRPr="002F6CAB">
        <w:rPr>
          <w:b/>
        </w:rPr>
        <w:t>Funding trends</w:t>
      </w:r>
    </w:p>
    <w:p w14:paraId="330E4B79" w14:textId="3016B413" w:rsidR="003E707E" w:rsidRDefault="003E707E" w:rsidP="003E707E">
      <w:r>
        <w:t>It was possible to analyse the VI service budgets provided by 11</w:t>
      </w:r>
      <w:r w:rsidR="00914475">
        <w:t>6</w:t>
      </w:r>
      <w:r>
        <w:t xml:space="preserve"> individual authorities, representing three quarters of all authorities</w:t>
      </w:r>
      <w:r w:rsidRPr="00A57F60">
        <w:t>.</w:t>
      </w:r>
      <w:r w:rsidR="00F34161" w:rsidRPr="00A57F60">
        <w:t xml:space="preserve"> </w:t>
      </w:r>
      <w:r w:rsidRPr="00A57F60">
        <w:t>In the t</w:t>
      </w:r>
      <w:r w:rsidR="001427A4">
        <w:t>hree</w:t>
      </w:r>
      <w:r w:rsidRPr="00A57F60">
        <w:t xml:space="preserve"> years between 2017/18 and 20</w:t>
      </w:r>
      <w:r w:rsidR="00FD5B81">
        <w:t>20/21</w:t>
      </w:r>
      <w:r w:rsidRPr="00A57F60">
        <w:t>, 2</w:t>
      </w:r>
      <w:r w:rsidR="00F34161" w:rsidRPr="00A57F60">
        <w:t>9</w:t>
      </w:r>
      <w:r w:rsidRPr="00A57F60">
        <w:t xml:space="preserve"> authorities cut their VI service budget</w:t>
      </w:r>
      <w:r w:rsidR="009617BF">
        <w:t xml:space="preserve"> (35%)</w:t>
      </w:r>
      <w:r w:rsidRPr="00A57F60">
        <w:t>,</w:t>
      </w:r>
      <w:r w:rsidR="00FA7128">
        <w:t xml:space="preserve"> </w:t>
      </w:r>
      <w:r w:rsidR="00015C7F">
        <w:t xml:space="preserve">which </w:t>
      </w:r>
      <w:r w:rsidR="00233701">
        <w:t xml:space="preserve">is </w:t>
      </w:r>
      <w:r w:rsidR="00015C7F">
        <w:t xml:space="preserve">likely </w:t>
      </w:r>
      <w:r w:rsidR="00233701">
        <w:t xml:space="preserve">to </w:t>
      </w:r>
      <w:r w:rsidR="00F7286B">
        <w:t>affect</w:t>
      </w:r>
      <w:r w:rsidR="00233701">
        <w:t xml:space="preserve"> </w:t>
      </w:r>
      <w:r w:rsidR="00AE537E">
        <w:t xml:space="preserve">the </w:t>
      </w:r>
      <w:r w:rsidR="00B71B82">
        <w:t>VI support provided to the 5</w:t>
      </w:r>
      <w:r w:rsidR="005D03E6">
        <w:t>,</w:t>
      </w:r>
      <w:r w:rsidR="00B71B82">
        <w:t xml:space="preserve">638 children and young people </w:t>
      </w:r>
      <w:r w:rsidR="00F7286B">
        <w:t>within</w:t>
      </w:r>
      <w:r w:rsidR="003567F5">
        <w:t xml:space="preserve"> </w:t>
      </w:r>
      <w:r w:rsidR="00B71B82">
        <w:t>these LAs</w:t>
      </w:r>
      <w:r w:rsidRPr="00A57F60">
        <w:t xml:space="preserve">. </w:t>
      </w:r>
      <w:r w:rsidR="005D0EEB" w:rsidRPr="00A57F60">
        <w:t>1</w:t>
      </w:r>
      <w:r w:rsidRPr="00A57F60">
        <w:t xml:space="preserve">1% </w:t>
      </w:r>
      <w:r w:rsidR="005D03E6">
        <w:t xml:space="preserve">of LAs </w:t>
      </w:r>
      <w:r w:rsidRPr="00A57F60">
        <w:t>froze their budgets</w:t>
      </w:r>
      <w:r w:rsidR="008066F1" w:rsidRPr="00A57F60">
        <w:t>, w</w:t>
      </w:r>
      <w:r w:rsidRPr="00A57F60">
        <w:t>hilst 5</w:t>
      </w:r>
      <w:r w:rsidR="008066F1" w:rsidRPr="00A57F60">
        <w:t>4</w:t>
      </w:r>
      <w:r w:rsidRPr="00A57F60">
        <w:t>% increased budgets</w:t>
      </w:r>
      <w:r w:rsidR="008066F1" w:rsidRPr="00A57F60">
        <w:t>.</w:t>
      </w:r>
    </w:p>
    <w:p w14:paraId="467240DD" w14:textId="77777777" w:rsidR="003E707E" w:rsidRDefault="003E707E" w:rsidP="003E707E"/>
    <w:p w14:paraId="4570CE25" w14:textId="319A4586" w:rsidR="005105E2" w:rsidRDefault="00606CE4" w:rsidP="003E707E">
      <w:r>
        <w:lastRenderedPageBreak/>
        <w:t>Amongst</w:t>
      </w:r>
      <w:r w:rsidR="00017F10" w:rsidRPr="00396200">
        <w:t xml:space="preserve"> the authorities tha</w:t>
      </w:r>
      <w:r w:rsidR="00396200">
        <w:t>t</w:t>
      </w:r>
      <w:r w:rsidR="007C0891">
        <w:t xml:space="preserve"> had their fund</w:t>
      </w:r>
      <w:r>
        <w:t>ing</w:t>
      </w:r>
      <w:r w:rsidR="007C0891">
        <w:t xml:space="preserve"> cut, figures sho</w:t>
      </w:r>
      <w:r w:rsidR="00E576AF">
        <w:t xml:space="preserve">w </w:t>
      </w:r>
      <w:r w:rsidR="00B01594">
        <w:t xml:space="preserve">just under </w:t>
      </w:r>
      <w:r w:rsidR="007C0891">
        <w:t>£4 million</w:t>
      </w:r>
      <w:r w:rsidR="00BD341A">
        <w:t xml:space="preserve"> has been lost</w:t>
      </w:r>
      <w:r w:rsidR="007C0891">
        <w:t xml:space="preserve"> </w:t>
      </w:r>
      <w:r w:rsidR="000F4C30">
        <w:t xml:space="preserve">from </w:t>
      </w:r>
      <w:r w:rsidR="00B1439E">
        <w:t xml:space="preserve">the </w:t>
      </w:r>
      <w:r w:rsidR="000F4C30">
        <w:t>service budget</w:t>
      </w:r>
      <w:r w:rsidR="00DB617B">
        <w:t xml:space="preserve"> </w:t>
      </w:r>
      <w:r w:rsidR="007C0891">
        <w:t>over the last year alone</w:t>
      </w:r>
      <w:r w:rsidR="00582737">
        <w:t xml:space="preserve">. </w:t>
      </w:r>
      <w:r w:rsidR="009862C7">
        <w:t>This is</w:t>
      </w:r>
      <w:r w:rsidR="00F12AF8">
        <w:t xml:space="preserve"> a</w:t>
      </w:r>
      <w:r w:rsidR="009862C7">
        <w:t xml:space="preserve"> 17% increase </w:t>
      </w:r>
      <w:r w:rsidR="00F12AF8">
        <w:t>from 2017</w:t>
      </w:r>
      <w:r w:rsidR="00BD2CD9">
        <w:t xml:space="preserve"> where a total of £3.4 million was lost from </w:t>
      </w:r>
      <w:r w:rsidR="00C778EA">
        <w:t xml:space="preserve">the service budget. It’s important to </w:t>
      </w:r>
      <w:r w:rsidR="00496861">
        <w:t xml:space="preserve">consider </w:t>
      </w:r>
      <w:r w:rsidR="00B82692">
        <w:t xml:space="preserve">that </w:t>
      </w:r>
      <w:r w:rsidR="00993073">
        <w:t>budgets are not always recorded the same way</w:t>
      </w:r>
      <w:r w:rsidR="00494BD9">
        <w:t xml:space="preserve"> each year. </w:t>
      </w:r>
      <w:r w:rsidR="00993073">
        <w:t xml:space="preserve"> </w:t>
      </w:r>
    </w:p>
    <w:p w14:paraId="2CFE78B9" w14:textId="79CBC40D" w:rsidR="005105E2" w:rsidRDefault="005105E2" w:rsidP="003E707E"/>
    <w:p w14:paraId="7992CAAE" w14:textId="61829840" w:rsidR="00B2429E" w:rsidRDefault="0053571E" w:rsidP="003E707E">
      <w:r>
        <w:t>Of</w:t>
      </w:r>
      <w:r w:rsidR="002E21D7">
        <w:t xml:space="preserve"> the local authorities that saw an increase in budget in 2019,</w:t>
      </w:r>
      <w:r w:rsidR="00944815">
        <w:t xml:space="preserve"> 42% saw a further increase in</w:t>
      </w:r>
      <w:r w:rsidR="004D5A89">
        <w:t xml:space="preserve"> </w:t>
      </w:r>
      <w:r w:rsidR="00944815">
        <w:t>budget in 2020</w:t>
      </w:r>
      <w:r w:rsidR="00BB640F">
        <w:t xml:space="preserve">, while </w:t>
      </w:r>
      <w:r w:rsidR="008C35D7">
        <w:t>35%</w:t>
      </w:r>
      <w:r w:rsidR="002E21D7">
        <w:t xml:space="preserve"> had their budgets cut</w:t>
      </w:r>
      <w:r w:rsidR="00CF249C">
        <w:t>.</w:t>
      </w:r>
    </w:p>
    <w:p w14:paraId="4AE59EE6" w14:textId="77777777" w:rsidR="00B2429E" w:rsidRDefault="00B2429E" w:rsidP="003E707E"/>
    <w:p w14:paraId="1D28346F" w14:textId="2D2CB5CF" w:rsidR="00952488" w:rsidRDefault="006A5522" w:rsidP="003E707E">
      <w:r>
        <w:t>Of th</w:t>
      </w:r>
      <w:r w:rsidR="00B82F2F">
        <w:t>e</w:t>
      </w:r>
      <w:r>
        <w:t xml:space="preserve"> local authorities that had their budgets cut in 2019, </w:t>
      </w:r>
      <w:r w:rsidR="00944815">
        <w:t>29% saw an increase in budget in 2020</w:t>
      </w:r>
      <w:r w:rsidR="00CF249C">
        <w:t xml:space="preserve"> and </w:t>
      </w:r>
      <w:r w:rsidR="008C35D7">
        <w:t xml:space="preserve">35% saw their budgets being cut </w:t>
      </w:r>
      <w:r w:rsidR="008B47E5">
        <w:t>further in 2020</w:t>
      </w:r>
      <w:r w:rsidR="00944815">
        <w:t>.</w:t>
      </w:r>
      <w:r w:rsidR="007273AB">
        <w:t xml:space="preserve"> </w:t>
      </w:r>
    </w:p>
    <w:p w14:paraId="274791BB" w14:textId="77777777" w:rsidR="004C03FB" w:rsidRDefault="004C03FB" w:rsidP="003E707E"/>
    <w:p w14:paraId="25C119C6" w14:textId="4736B0C4" w:rsidR="007273AB" w:rsidRDefault="00E2471B" w:rsidP="003E707E">
      <w:r>
        <w:t xml:space="preserve">The overall number of children and young people accessing these services has </w:t>
      </w:r>
      <w:r w:rsidR="00E96789">
        <w:t xml:space="preserve">increased by </w:t>
      </w:r>
      <w:r w:rsidR="00280600">
        <w:t>8</w:t>
      </w:r>
      <w:r>
        <w:t>% from 201</w:t>
      </w:r>
      <w:r w:rsidR="00280600">
        <w:t>7</w:t>
      </w:r>
      <w:r>
        <w:t xml:space="preserve"> to 2020</w:t>
      </w:r>
      <w:r w:rsidR="00A3343D">
        <w:t xml:space="preserve">. </w:t>
      </w:r>
      <w:r>
        <w:t xml:space="preserve">However, it may be worth considering that the response rate for this year’s FOI is 9% less than 2019 which suggests that </w:t>
      </w:r>
      <w:r w:rsidR="00250065">
        <w:t xml:space="preserve">the number of </w:t>
      </w:r>
      <w:r w:rsidR="00F30EE4">
        <w:t xml:space="preserve">children and young people accessing the service could in fact </w:t>
      </w:r>
      <w:r>
        <w:t>be</w:t>
      </w:r>
      <w:r w:rsidR="00740A6C">
        <w:t xml:space="preserve"> higher</w:t>
      </w:r>
      <w:r>
        <w:t>.</w:t>
      </w:r>
    </w:p>
    <w:p w14:paraId="246F291C" w14:textId="77777777" w:rsidR="007273AB" w:rsidRDefault="007273AB" w:rsidP="003E707E"/>
    <w:p w14:paraId="3DF5BCF0" w14:textId="4BEB7CF6" w:rsidR="005A02B0" w:rsidRDefault="00952488" w:rsidP="003E707E">
      <w:r w:rsidRPr="002F6CAB">
        <w:t>Of the local authorities that increased their budget in 2017/18</w:t>
      </w:r>
      <w:r w:rsidR="0036374B" w:rsidRPr="002F6CAB">
        <w:t>,</w:t>
      </w:r>
      <w:r w:rsidR="00046223" w:rsidRPr="002F6CAB">
        <w:t xml:space="preserve"> </w:t>
      </w:r>
      <w:r w:rsidRPr="002F6CAB">
        <w:t xml:space="preserve">only </w:t>
      </w:r>
      <w:r w:rsidR="00D746CA" w:rsidRPr="002F6CAB">
        <w:t>37%</w:t>
      </w:r>
      <w:r w:rsidR="005443CB" w:rsidRPr="002F6CAB">
        <w:t xml:space="preserve"> ha</w:t>
      </w:r>
      <w:r w:rsidR="00B82B5A" w:rsidRPr="002F6CAB">
        <w:t>d</w:t>
      </w:r>
      <w:r w:rsidR="005443CB" w:rsidRPr="002F6CAB">
        <w:t xml:space="preserve"> their budgets </w:t>
      </w:r>
      <w:r w:rsidR="00D746CA" w:rsidRPr="002F6CAB">
        <w:t>increased</w:t>
      </w:r>
      <w:r w:rsidR="005443CB" w:rsidRPr="002F6CAB">
        <w:t xml:space="preserve"> </w:t>
      </w:r>
      <w:r w:rsidR="003858AD" w:rsidRPr="002F6CAB">
        <w:t>each year for three</w:t>
      </w:r>
      <w:r w:rsidR="00D746CA" w:rsidRPr="002F6CAB">
        <w:t xml:space="preserve"> years.</w:t>
      </w:r>
      <w:r w:rsidR="003E7E36" w:rsidRPr="002F6CAB">
        <w:t xml:space="preserve"> </w:t>
      </w:r>
      <w:r w:rsidR="00834770" w:rsidRPr="002F6CAB">
        <w:t>Whilst some local</w:t>
      </w:r>
      <w:r w:rsidR="00834770" w:rsidRPr="00462E68">
        <w:t xml:space="preserve"> authorities are recognising the importance of the VI education service, others are failing to make the required investment to maintain service levels. </w:t>
      </w:r>
      <w:r w:rsidR="00280600">
        <w:t>A</w:t>
      </w:r>
      <w:r w:rsidR="00957575">
        <w:t xml:space="preserve"> gradual</w:t>
      </w:r>
      <w:r w:rsidR="00280600">
        <w:t xml:space="preserve"> increase in children and young people using the VI service </w:t>
      </w:r>
      <w:r w:rsidR="00AD0184">
        <w:t xml:space="preserve">mean </w:t>
      </w:r>
      <w:r w:rsidR="003E7E36" w:rsidRPr="00462E68">
        <w:t xml:space="preserve">two thirds </w:t>
      </w:r>
      <w:r w:rsidR="00FC5B1C" w:rsidRPr="00462E68">
        <w:t>of local authorities</w:t>
      </w:r>
      <w:r w:rsidR="00BF0320" w:rsidRPr="00462E68">
        <w:t xml:space="preserve"> </w:t>
      </w:r>
      <w:r w:rsidR="00AD0184">
        <w:t xml:space="preserve">are </w:t>
      </w:r>
      <w:r w:rsidR="00BD086F" w:rsidRPr="00462E68">
        <w:t>having to make their budgets stretch further</w:t>
      </w:r>
      <w:r w:rsidR="008C0269">
        <w:t xml:space="preserve">, which is likely to </w:t>
      </w:r>
      <w:r w:rsidR="00BF0320" w:rsidRPr="00462E68">
        <w:t xml:space="preserve">leave </w:t>
      </w:r>
      <w:r w:rsidR="00E2471B" w:rsidRPr="00462E68">
        <w:t xml:space="preserve">less funding available per head. </w:t>
      </w:r>
    </w:p>
    <w:p w14:paraId="379DE742" w14:textId="77777777" w:rsidR="003209F2" w:rsidRDefault="003209F2" w:rsidP="003209F2"/>
    <w:p w14:paraId="3FBD90FD" w14:textId="77777777" w:rsidR="003209F2" w:rsidRDefault="003209F2" w:rsidP="003209F2">
      <w:r>
        <w:t>The evidence of budgets cuts alternated with budget rises suggests that service budgets are changeable and not secure from one year to the next. As numbers of children on the caseload tend to increase year on year, the reason for fluctuating budgets is not clear and is likely to be complex and managed differently in each local authority.</w:t>
      </w:r>
    </w:p>
    <w:p w14:paraId="3946AE16" w14:textId="679163EC" w:rsidR="005A02B0" w:rsidRDefault="005A02B0" w:rsidP="003E707E"/>
    <w:p w14:paraId="53AC3614" w14:textId="7325BBAE" w:rsidR="003E707E" w:rsidRDefault="00E16E48" w:rsidP="003E707E">
      <w:r>
        <w:t xml:space="preserve">If we look at regional trends in </w:t>
      </w:r>
      <w:r w:rsidR="0090084B">
        <w:t>funding,</w:t>
      </w:r>
      <w:r w:rsidR="0015310F">
        <w:t xml:space="preserve"> we can see that </w:t>
      </w:r>
      <w:r w:rsidR="00E723F8">
        <w:t xml:space="preserve">half the </w:t>
      </w:r>
      <w:r w:rsidR="0002126A">
        <w:t xml:space="preserve">local authorities in </w:t>
      </w:r>
      <w:r w:rsidR="0015310F">
        <w:t>Londo</w:t>
      </w:r>
      <w:r w:rsidR="0002126A">
        <w:t xml:space="preserve">n </w:t>
      </w:r>
      <w:r w:rsidR="0015310F">
        <w:t xml:space="preserve">saw the biggest increase in </w:t>
      </w:r>
      <w:r w:rsidR="003519E7">
        <w:t xml:space="preserve">funding </w:t>
      </w:r>
      <w:r w:rsidR="00DC4E99">
        <w:t>over the last year,</w:t>
      </w:r>
      <w:r w:rsidR="000E4379">
        <w:t xml:space="preserve"> while</w:t>
      </w:r>
      <w:r w:rsidR="00E723F8">
        <w:t xml:space="preserve"> the other half saw </w:t>
      </w:r>
      <w:r w:rsidR="003D5919">
        <w:t xml:space="preserve">the second highest </w:t>
      </w:r>
      <w:r w:rsidR="00EC6A1B">
        <w:t>budget cut</w:t>
      </w:r>
      <w:r w:rsidR="00E723F8">
        <w:t>s</w:t>
      </w:r>
      <w:r w:rsidR="003D5919">
        <w:t>.</w:t>
      </w:r>
      <w:r w:rsidR="00A26442">
        <w:t xml:space="preserve"> Whereas l</w:t>
      </w:r>
      <w:r w:rsidR="00BB00B5">
        <w:t xml:space="preserve">ocal authorities in the </w:t>
      </w:r>
      <w:r w:rsidR="00DA5424">
        <w:t>East of Engla</w:t>
      </w:r>
      <w:r w:rsidR="00BB00B5">
        <w:t>nd</w:t>
      </w:r>
      <w:r w:rsidR="005B71BC">
        <w:t xml:space="preserve"> were </w:t>
      </w:r>
      <w:r w:rsidR="00DB5AB9">
        <w:t>at the bottom of the list</w:t>
      </w:r>
      <w:r w:rsidR="00420605">
        <w:t xml:space="preserve"> for the highest </w:t>
      </w:r>
      <w:r w:rsidR="00A479AB">
        <w:t>decrease</w:t>
      </w:r>
      <w:r w:rsidR="00E21BE0">
        <w:t>s</w:t>
      </w:r>
      <w:r w:rsidR="00A479AB">
        <w:t xml:space="preserve"> in funding</w:t>
      </w:r>
      <w:r w:rsidR="00E21BE0">
        <w:t>,</w:t>
      </w:r>
      <w:r w:rsidR="00A479AB">
        <w:t xml:space="preserve"> as well as the lowest increase over the last year.</w:t>
      </w:r>
      <w:r w:rsidR="00E21BE0">
        <w:t xml:space="preserve"> This has been case for them since 2017. However</w:t>
      </w:r>
      <w:r w:rsidR="00AC740F">
        <w:t>,</w:t>
      </w:r>
      <w:r w:rsidR="00E21BE0">
        <w:t xml:space="preserve"> it is worth mentioning that </w:t>
      </w:r>
      <w:r w:rsidR="0032396D">
        <w:t>local authorities in</w:t>
      </w:r>
      <w:r w:rsidR="00AC740F">
        <w:t xml:space="preserve"> the</w:t>
      </w:r>
      <w:r w:rsidR="0032396D">
        <w:t xml:space="preserve"> East of England make up less than 10%</w:t>
      </w:r>
      <w:r w:rsidR="007F256A">
        <w:t xml:space="preserve"> of the </w:t>
      </w:r>
      <w:r w:rsidR="00D233BC">
        <w:t>responding LA’s</w:t>
      </w:r>
      <w:r w:rsidR="00A26442">
        <w:t>, and London L</w:t>
      </w:r>
      <w:r w:rsidR="00F545A7">
        <w:t>A</w:t>
      </w:r>
      <w:r w:rsidR="00A26442">
        <w:t xml:space="preserve">’s make up </w:t>
      </w:r>
      <w:r w:rsidR="00D17517">
        <w:t xml:space="preserve">20%. </w:t>
      </w:r>
    </w:p>
    <w:p w14:paraId="65E8C5E9" w14:textId="77777777" w:rsidR="00E16E48" w:rsidRPr="00462E68" w:rsidRDefault="00E16E48" w:rsidP="003E707E"/>
    <w:p w14:paraId="10A39168" w14:textId="27E2B880" w:rsidR="003E707E" w:rsidRPr="00462E68" w:rsidRDefault="003E707E" w:rsidP="003E707E">
      <w:r w:rsidRPr="00462E68">
        <w:lastRenderedPageBreak/>
        <w:t>The table below shows the proportion of authorities increasing,</w:t>
      </w:r>
      <w:r w:rsidR="00300BDA">
        <w:t xml:space="preserve"> </w:t>
      </w:r>
      <w:r w:rsidRPr="00462E68">
        <w:t>decreasing</w:t>
      </w:r>
      <w:r w:rsidR="00300BDA">
        <w:t>,</w:t>
      </w:r>
      <w:r w:rsidRPr="00462E68">
        <w:t xml:space="preserve"> or freezing budgets. </w:t>
      </w:r>
    </w:p>
    <w:p w14:paraId="6E0E0B16" w14:textId="77777777" w:rsidR="003E707E" w:rsidRPr="00462E68" w:rsidRDefault="003E707E" w:rsidP="003E707E"/>
    <w:p w14:paraId="2BCC2FB3" w14:textId="3264C7F7" w:rsidR="003E707E" w:rsidRPr="00462E68" w:rsidRDefault="003E707E" w:rsidP="003E707E">
      <w:pPr>
        <w:rPr>
          <w:b/>
        </w:rPr>
      </w:pPr>
      <w:r w:rsidRPr="00462E68">
        <w:rPr>
          <w:b/>
        </w:rPr>
        <w:t>Table: Annual budget trends shown as proportion of local authorities responding, 2017/18 to 20</w:t>
      </w:r>
      <w:r w:rsidR="00686000" w:rsidRPr="00462E68">
        <w:rPr>
          <w:b/>
        </w:rPr>
        <w:t>20</w:t>
      </w:r>
      <w:r w:rsidRPr="00462E68">
        <w:rPr>
          <w:b/>
        </w:rPr>
        <w:t>/2</w:t>
      </w:r>
      <w:r w:rsidR="00686000" w:rsidRPr="00462E68">
        <w:rPr>
          <w:b/>
        </w:rPr>
        <w:t>1</w:t>
      </w:r>
    </w:p>
    <w:p w14:paraId="5F581FCD" w14:textId="77777777" w:rsidR="00FD1AB1" w:rsidRPr="00462E68" w:rsidRDefault="00FD1AB1" w:rsidP="003E707E">
      <w:pPr>
        <w:rPr>
          <w:b/>
        </w:rPr>
      </w:pPr>
    </w:p>
    <w:tbl>
      <w:tblPr>
        <w:tblStyle w:val="TableGrid"/>
        <w:tblW w:w="0" w:type="auto"/>
        <w:tblLook w:val="04A0" w:firstRow="1" w:lastRow="0" w:firstColumn="1" w:lastColumn="0" w:noHBand="0" w:noVBand="1"/>
      </w:tblPr>
      <w:tblGrid>
        <w:gridCol w:w="1620"/>
        <w:gridCol w:w="2061"/>
        <w:gridCol w:w="2061"/>
      </w:tblGrid>
      <w:tr w:rsidR="00265260" w:rsidRPr="00462E68" w14:paraId="430A1019" w14:textId="77777777" w:rsidTr="00763E55">
        <w:trPr>
          <w:trHeight w:val="280"/>
        </w:trPr>
        <w:tc>
          <w:tcPr>
            <w:tcW w:w="1620" w:type="dxa"/>
            <w:noWrap/>
            <w:hideMark/>
          </w:tcPr>
          <w:p w14:paraId="534E9E4C" w14:textId="77777777" w:rsidR="00265260" w:rsidRPr="00462E68" w:rsidRDefault="00265260" w:rsidP="00763E55"/>
        </w:tc>
        <w:tc>
          <w:tcPr>
            <w:tcW w:w="2061" w:type="dxa"/>
          </w:tcPr>
          <w:p w14:paraId="76348A82" w14:textId="6ABAA78F" w:rsidR="00265260" w:rsidRPr="00462E68" w:rsidRDefault="00265260" w:rsidP="00763E55">
            <w:pPr>
              <w:rPr>
                <w:bCs/>
              </w:rPr>
            </w:pPr>
            <w:r w:rsidRPr="00462E68">
              <w:rPr>
                <w:bCs/>
              </w:rPr>
              <w:t>Chan</w:t>
            </w:r>
            <w:r w:rsidR="00787F87" w:rsidRPr="00462E68">
              <w:rPr>
                <w:bCs/>
              </w:rPr>
              <w:t>ge 19/20 to 20/21</w:t>
            </w:r>
          </w:p>
        </w:tc>
        <w:tc>
          <w:tcPr>
            <w:tcW w:w="2061" w:type="dxa"/>
            <w:noWrap/>
            <w:hideMark/>
          </w:tcPr>
          <w:p w14:paraId="0A1BB343" w14:textId="7AF3CE0C" w:rsidR="00265260" w:rsidRPr="00462E68" w:rsidRDefault="00265260" w:rsidP="00763E55">
            <w:pPr>
              <w:rPr>
                <w:bCs/>
              </w:rPr>
            </w:pPr>
            <w:r w:rsidRPr="00462E68">
              <w:rPr>
                <w:bCs/>
              </w:rPr>
              <w:t>Change 17/18 to 20/21</w:t>
            </w:r>
          </w:p>
        </w:tc>
      </w:tr>
      <w:tr w:rsidR="00265260" w:rsidRPr="00462E68" w14:paraId="1E328ECF" w14:textId="77777777" w:rsidTr="00763E55">
        <w:trPr>
          <w:trHeight w:val="280"/>
        </w:trPr>
        <w:tc>
          <w:tcPr>
            <w:tcW w:w="1620" w:type="dxa"/>
            <w:noWrap/>
            <w:hideMark/>
          </w:tcPr>
          <w:p w14:paraId="74185FA1" w14:textId="77777777" w:rsidR="00265260" w:rsidRPr="00462E68" w:rsidRDefault="00265260" w:rsidP="00763E55">
            <w:r w:rsidRPr="00462E68">
              <w:t>Increase</w:t>
            </w:r>
          </w:p>
        </w:tc>
        <w:tc>
          <w:tcPr>
            <w:tcW w:w="2061" w:type="dxa"/>
          </w:tcPr>
          <w:p w14:paraId="0DE5F31D" w14:textId="2402311C" w:rsidR="00784B54" w:rsidRPr="00462E68" w:rsidRDefault="00784B54" w:rsidP="00763E55">
            <w:pPr>
              <w:rPr>
                <w:bCs/>
              </w:rPr>
            </w:pPr>
            <w:r w:rsidRPr="00462E68">
              <w:rPr>
                <w:bCs/>
              </w:rPr>
              <w:t>42</w:t>
            </w:r>
          </w:p>
        </w:tc>
        <w:tc>
          <w:tcPr>
            <w:tcW w:w="2061" w:type="dxa"/>
            <w:noWrap/>
            <w:hideMark/>
          </w:tcPr>
          <w:p w14:paraId="66198771" w14:textId="3AC40AFA" w:rsidR="00265260" w:rsidRPr="00462E68" w:rsidRDefault="00265260" w:rsidP="00763E55">
            <w:pPr>
              <w:rPr>
                <w:bCs/>
              </w:rPr>
            </w:pPr>
            <w:r w:rsidRPr="00462E68">
              <w:rPr>
                <w:bCs/>
              </w:rPr>
              <w:t>54%</w:t>
            </w:r>
          </w:p>
        </w:tc>
      </w:tr>
      <w:tr w:rsidR="00265260" w:rsidRPr="00462E68" w14:paraId="661F0097" w14:textId="77777777" w:rsidTr="00763E55">
        <w:trPr>
          <w:trHeight w:val="280"/>
        </w:trPr>
        <w:tc>
          <w:tcPr>
            <w:tcW w:w="1620" w:type="dxa"/>
            <w:noWrap/>
            <w:hideMark/>
          </w:tcPr>
          <w:p w14:paraId="149D6D8C" w14:textId="77777777" w:rsidR="00265260" w:rsidRPr="00462E68" w:rsidRDefault="00265260" w:rsidP="00763E55">
            <w:r w:rsidRPr="00462E68">
              <w:t>No change</w:t>
            </w:r>
          </w:p>
        </w:tc>
        <w:tc>
          <w:tcPr>
            <w:tcW w:w="2061" w:type="dxa"/>
          </w:tcPr>
          <w:p w14:paraId="27167609" w14:textId="4BE8253A" w:rsidR="00265260" w:rsidRPr="00462E68" w:rsidRDefault="00784B54" w:rsidP="00763E55">
            <w:pPr>
              <w:rPr>
                <w:bCs/>
              </w:rPr>
            </w:pPr>
            <w:r w:rsidRPr="00462E68">
              <w:rPr>
                <w:bCs/>
              </w:rPr>
              <w:t>17%</w:t>
            </w:r>
          </w:p>
        </w:tc>
        <w:tc>
          <w:tcPr>
            <w:tcW w:w="2061" w:type="dxa"/>
            <w:noWrap/>
            <w:hideMark/>
          </w:tcPr>
          <w:p w14:paraId="76805F3C" w14:textId="4253E21E" w:rsidR="00265260" w:rsidRPr="00462E68" w:rsidRDefault="00265260" w:rsidP="00763E55">
            <w:pPr>
              <w:rPr>
                <w:bCs/>
              </w:rPr>
            </w:pPr>
            <w:r w:rsidRPr="00462E68">
              <w:rPr>
                <w:bCs/>
              </w:rPr>
              <w:t>11%</w:t>
            </w:r>
          </w:p>
        </w:tc>
      </w:tr>
      <w:tr w:rsidR="00265260" w:rsidRPr="00462E68" w14:paraId="757A2848" w14:textId="77777777" w:rsidTr="00763E55">
        <w:trPr>
          <w:trHeight w:val="280"/>
        </w:trPr>
        <w:tc>
          <w:tcPr>
            <w:tcW w:w="1620" w:type="dxa"/>
            <w:noWrap/>
            <w:hideMark/>
          </w:tcPr>
          <w:p w14:paraId="4E66A0D5" w14:textId="77777777" w:rsidR="00265260" w:rsidRPr="00462E68" w:rsidRDefault="00265260" w:rsidP="00763E55">
            <w:r w:rsidRPr="00462E68">
              <w:t>Decrease</w:t>
            </w:r>
          </w:p>
        </w:tc>
        <w:tc>
          <w:tcPr>
            <w:tcW w:w="2061" w:type="dxa"/>
          </w:tcPr>
          <w:p w14:paraId="23970A3D" w14:textId="20A546CC" w:rsidR="00265260" w:rsidRPr="00462E68" w:rsidRDefault="00784B54" w:rsidP="00763E55">
            <w:pPr>
              <w:rPr>
                <w:bCs/>
              </w:rPr>
            </w:pPr>
            <w:r w:rsidRPr="00462E68">
              <w:rPr>
                <w:bCs/>
              </w:rPr>
              <w:t>42%</w:t>
            </w:r>
          </w:p>
        </w:tc>
        <w:tc>
          <w:tcPr>
            <w:tcW w:w="2061" w:type="dxa"/>
            <w:noWrap/>
            <w:hideMark/>
          </w:tcPr>
          <w:p w14:paraId="5234EE82" w14:textId="2225EA37" w:rsidR="00265260" w:rsidRPr="00462E68" w:rsidRDefault="00265260" w:rsidP="00763E55">
            <w:pPr>
              <w:rPr>
                <w:bCs/>
              </w:rPr>
            </w:pPr>
            <w:r w:rsidRPr="00462E68">
              <w:rPr>
                <w:bCs/>
              </w:rPr>
              <w:t>35%</w:t>
            </w:r>
          </w:p>
        </w:tc>
      </w:tr>
      <w:tr w:rsidR="00265260" w:rsidRPr="009D0690" w14:paraId="015FFDDF" w14:textId="77777777" w:rsidTr="00763E55">
        <w:trPr>
          <w:trHeight w:val="67"/>
        </w:trPr>
        <w:tc>
          <w:tcPr>
            <w:tcW w:w="1620" w:type="dxa"/>
            <w:noWrap/>
            <w:hideMark/>
          </w:tcPr>
          <w:p w14:paraId="6A684ED6" w14:textId="77777777" w:rsidR="00265260" w:rsidRPr="00462E68" w:rsidRDefault="00265260" w:rsidP="00763E55">
            <w:pPr>
              <w:rPr>
                <w:bCs/>
              </w:rPr>
            </w:pPr>
            <w:r w:rsidRPr="00462E68">
              <w:rPr>
                <w:bCs/>
              </w:rPr>
              <w:t>Total LAs</w:t>
            </w:r>
          </w:p>
        </w:tc>
        <w:tc>
          <w:tcPr>
            <w:tcW w:w="2061" w:type="dxa"/>
          </w:tcPr>
          <w:p w14:paraId="66B2500B" w14:textId="4E1FF8C7" w:rsidR="00265260" w:rsidRPr="00462E68" w:rsidRDefault="00784B54" w:rsidP="00763E55">
            <w:r w:rsidRPr="00462E68">
              <w:t>114</w:t>
            </w:r>
          </w:p>
        </w:tc>
        <w:tc>
          <w:tcPr>
            <w:tcW w:w="2061" w:type="dxa"/>
            <w:noWrap/>
            <w:hideMark/>
          </w:tcPr>
          <w:p w14:paraId="3EA54B2C" w14:textId="5BE537DB" w:rsidR="00265260" w:rsidRPr="005E229F" w:rsidRDefault="00265260" w:rsidP="00763E55">
            <w:r w:rsidRPr="00462E68">
              <w:t>11</w:t>
            </w:r>
            <w:r w:rsidR="00A14F60" w:rsidRPr="00462E68">
              <w:t>4</w:t>
            </w:r>
          </w:p>
        </w:tc>
      </w:tr>
    </w:tbl>
    <w:p w14:paraId="3629AFB3" w14:textId="63C72C0E" w:rsidR="003E707E" w:rsidRDefault="003E707E" w:rsidP="00D77DDD"/>
    <w:p w14:paraId="49B71206" w14:textId="0F3B411B" w:rsidR="00535CDA" w:rsidRDefault="00535CDA" w:rsidP="00D77DDD"/>
    <w:p w14:paraId="210722D0" w14:textId="77777777" w:rsidR="00535CDA" w:rsidRDefault="00535CDA" w:rsidP="00535CDA">
      <w:pPr>
        <w:pStyle w:val="Heading2"/>
        <w:rPr>
          <w:lang w:eastAsia="en-GB"/>
        </w:rPr>
      </w:pPr>
      <w:bookmarkStart w:id="22" w:name="_Toc63761422"/>
      <w:r w:rsidRPr="00677675">
        <w:rPr>
          <w:lang w:eastAsia="en-GB"/>
        </w:rPr>
        <w:t>4.2. Children and young people supported by the service</w:t>
      </w:r>
      <w:bookmarkEnd w:id="22"/>
    </w:p>
    <w:p w14:paraId="46706001" w14:textId="77777777" w:rsidR="00535CDA" w:rsidRDefault="00535CDA" w:rsidP="00535CDA">
      <w:pPr>
        <w:pStyle w:val="Heading3"/>
      </w:pPr>
      <w:r>
        <w:t>Caseload</w:t>
      </w:r>
    </w:p>
    <w:p w14:paraId="601FD3EA" w14:textId="13065F76" w:rsidR="00535CDA" w:rsidRDefault="00535CDA" w:rsidP="00535CDA">
      <w:r w:rsidRPr="0061253C">
        <w:t xml:space="preserve">The total number of </w:t>
      </w:r>
      <w:r w:rsidR="00F7286B">
        <w:t>children/young people</w:t>
      </w:r>
      <w:r w:rsidR="00F7286B" w:rsidRPr="0061253C">
        <w:t xml:space="preserve"> </w:t>
      </w:r>
      <w:r w:rsidRPr="0061253C">
        <w:t xml:space="preserve">aged 0-25 on vision impairment service caseloads, or known to services, was </w:t>
      </w:r>
      <w:r w:rsidR="008A0737">
        <w:t>27,</w:t>
      </w:r>
      <w:r w:rsidR="003A618C">
        <w:t>464</w:t>
      </w:r>
      <w:r w:rsidRPr="0061253C">
        <w:t xml:space="preserve">. </w:t>
      </w:r>
      <w:r>
        <w:t xml:space="preserve">This is likely to be an </w:t>
      </w:r>
      <w:r w:rsidR="00615570">
        <w:t>underestimate</w:t>
      </w:r>
      <w:r>
        <w:t xml:space="preserve"> as </w:t>
      </w:r>
      <w:r w:rsidR="003F44E3">
        <w:t>five</w:t>
      </w:r>
      <w:r>
        <w:t xml:space="preserve"> authorities did not provide any figures</w:t>
      </w:r>
      <w:r w:rsidR="003F44E3">
        <w:t xml:space="preserve">, and a further </w:t>
      </w:r>
      <w:r w:rsidR="00F64DB4">
        <w:t>19</w:t>
      </w:r>
      <w:r>
        <w:t xml:space="preserve"> authorities did not respond to the FOI request</w:t>
      </w:r>
      <w:r w:rsidR="003F44E3">
        <w:t xml:space="preserve">. </w:t>
      </w:r>
      <w:r>
        <w:t>In addition, some figures were suppressed and not counted in the year</w:t>
      </w:r>
      <w:r w:rsidR="00A73FCA">
        <w:t xml:space="preserve"> g</w:t>
      </w:r>
      <w:r>
        <w:t>roup/support level breakdowns by authorities who</w:t>
      </w:r>
      <w:r w:rsidRPr="00584DDF">
        <w:t xml:space="preserve"> stated a figure of ‘less than five’ due to data protection</w:t>
      </w:r>
      <w:r>
        <w:t xml:space="preserve">. </w:t>
      </w:r>
    </w:p>
    <w:p w14:paraId="401191C6" w14:textId="77777777" w:rsidR="00535CDA" w:rsidRDefault="00535CDA" w:rsidP="00535CDA"/>
    <w:p w14:paraId="7D1223A1" w14:textId="05E3D9C9" w:rsidR="00535CDA" w:rsidRDefault="00535CDA" w:rsidP="00535CDA">
      <w:r w:rsidRPr="00886A7F">
        <w:t xml:space="preserve">Comparing figures from authorities </w:t>
      </w:r>
      <w:r>
        <w:t>that responded to the 20</w:t>
      </w:r>
      <w:r w:rsidR="00775230">
        <w:t>20</w:t>
      </w:r>
      <w:r>
        <w:t xml:space="preserve"> and 2017 FOI survey</w:t>
      </w:r>
      <w:r w:rsidRPr="00886A7F">
        <w:t xml:space="preserve">, the number of children with a vision impairment has increased by </w:t>
      </w:r>
      <w:r w:rsidR="00775230">
        <w:t>8</w:t>
      </w:r>
      <w:r w:rsidRPr="00886A7F">
        <w:t>%. Despite</w:t>
      </w:r>
      <w:r w:rsidR="00CA227D">
        <w:t xml:space="preserve"> </w:t>
      </w:r>
      <w:r w:rsidR="00830350">
        <w:t xml:space="preserve">the missing </w:t>
      </w:r>
      <w:r w:rsidR="001660C5">
        <w:t>responses</w:t>
      </w:r>
      <w:r w:rsidRPr="00886A7F">
        <w:t xml:space="preserve">, this </w:t>
      </w:r>
      <w:r>
        <w:t>demonstrates that</w:t>
      </w:r>
      <w:r w:rsidRPr="00886A7F">
        <w:t xml:space="preserve"> the number </w:t>
      </w:r>
      <w:r>
        <w:t xml:space="preserve">of </w:t>
      </w:r>
      <w:r w:rsidRPr="00886A7F">
        <w:t xml:space="preserve">children </w:t>
      </w:r>
      <w:r>
        <w:t>with</w:t>
      </w:r>
      <w:r w:rsidR="001660C5">
        <w:t xml:space="preserve"> a</w:t>
      </w:r>
      <w:r>
        <w:t xml:space="preserve"> vision impairment accessing</w:t>
      </w:r>
      <w:r w:rsidRPr="00886A7F">
        <w:t xml:space="preserve"> service</w:t>
      </w:r>
      <w:r w:rsidR="00A17A87">
        <w:t>s</w:t>
      </w:r>
      <w:r w:rsidRPr="00886A7F">
        <w:t xml:space="preserve"> is increasing. </w:t>
      </w:r>
      <w:r w:rsidRPr="00A35D3D">
        <w:t>This mirrors similar growth trends seen in SEND figures published by the Department for Education (Department for Education, 20</w:t>
      </w:r>
      <w:r w:rsidR="00A35D3D">
        <w:t>20</w:t>
      </w:r>
      <w:r w:rsidRPr="00A35D3D">
        <w:t>).</w:t>
      </w:r>
    </w:p>
    <w:p w14:paraId="1A137C99" w14:textId="77777777" w:rsidR="00A9457B" w:rsidRPr="00E00681" w:rsidRDefault="00A9457B" w:rsidP="00535CDA">
      <w:pPr>
        <w:rPr>
          <w:i/>
          <w:iCs/>
        </w:rPr>
      </w:pPr>
    </w:p>
    <w:p w14:paraId="2F054CA3" w14:textId="3DDA8DE5" w:rsidR="00535CDA" w:rsidRDefault="00535CDA" w:rsidP="00535CDA">
      <w:r>
        <w:t>2</w:t>
      </w:r>
      <w:r w:rsidR="00604283">
        <w:t>3,</w:t>
      </w:r>
      <w:r w:rsidR="006D0907">
        <w:t>365</w:t>
      </w:r>
      <w:r>
        <w:t xml:space="preserve"> CYP were recorded on active service caseloads with a further </w:t>
      </w:r>
      <w:r w:rsidR="009576A1">
        <w:t>4,09</w:t>
      </w:r>
      <w:r w:rsidR="007749AC">
        <w:t>9</w:t>
      </w:r>
      <w:r>
        <w:t xml:space="preserve"> CYP known to services</w:t>
      </w:r>
      <w:r w:rsidR="00604283">
        <w:t xml:space="preserve">. </w:t>
      </w:r>
      <w:r>
        <w:t>The split in caseload and CYP known to the service across different support levels</w:t>
      </w:r>
      <w:r w:rsidRPr="008B507C">
        <w:rPr>
          <w:color w:val="FF0000"/>
        </w:rPr>
        <w:t xml:space="preserve"> </w:t>
      </w:r>
      <w:r>
        <w:t xml:space="preserve">is detailed in the table below. </w:t>
      </w:r>
    </w:p>
    <w:p w14:paraId="7959D87C" w14:textId="77777777" w:rsidR="00535CDA" w:rsidRDefault="00535CDA" w:rsidP="00535CDA"/>
    <w:p w14:paraId="06D313FF" w14:textId="0BCB2371" w:rsidR="00535CDA" w:rsidRPr="00B456CF" w:rsidRDefault="00535CDA" w:rsidP="00535CDA">
      <w:pPr>
        <w:rPr>
          <w:b/>
        </w:rPr>
      </w:pPr>
      <w:r w:rsidRPr="00B456CF">
        <w:rPr>
          <w:b/>
        </w:rPr>
        <w:t xml:space="preserve">Table: Proportion on </w:t>
      </w:r>
      <w:r w:rsidR="004B1D18">
        <w:rPr>
          <w:b/>
        </w:rPr>
        <w:t xml:space="preserve">active </w:t>
      </w:r>
      <w:r w:rsidRPr="00B456CF">
        <w:rPr>
          <w:b/>
        </w:rPr>
        <w:t>caseload by group</w:t>
      </w:r>
    </w:p>
    <w:tbl>
      <w:tblPr>
        <w:tblStyle w:val="TableGrid"/>
        <w:tblW w:w="0" w:type="auto"/>
        <w:tblLook w:val="04A0" w:firstRow="1" w:lastRow="0" w:firstColumn="1" w:lastColumn="0" w:noHBand="0" w:noVBand="1"/>
      </w:tblPr>
      <w:tblGrid>
        <w:gridCol w:w="3539"/>
        <w:gridCol w:w="2693"/>
      </w:tblGrid>
      <w:tr w:rsidR="003D545A" w:rsidRPr="008B507C" w14:paraId="3CCEE75C" w14:textId="77777777" w:rsidTr="004B1D18">
        <w:trPr>
          <w:trHeight w:val="290"/>
        </w:trPr>
        <w:tc>
          <w:tcPr>
            <w:tcW w:w="3539" w:type="dxa"/>
            <w:noWrap/>
            <w:hideMark/>
          </w:tcPr>
          <w:p w14:paraId="6AB2D65B" w14:textId="77777777" w:rsidR="003D545A" w:rsidRPr="008B507C" w:rsidRDefault="003D545A" w:rsidP="00763E55">
            <w:r>
              <w:t>Support level</w:t>
            </w:r>
          </w:p>
        </w:tc>
        <w:tc>
          <w:tcPr>
            <w:tcW w:w="2693" w:type="dxa"/>
            <w:noWrap/>
            <w:hideMark/>
          </w:tcPr>
          <w:p w14:paraId="69D64E27" w14:textId="77777777" w:rsidR="003D545A" w:rsidRPr="008B507C" w:rsidRDefault="003D545A" w:rsidP="00763E55">
            <w:r>
              <w:t>Proportion on active c</w:t>
            </w:r>
            <w:r w:rsidRPr="008B507C">
              <w:t>aseload</w:t>
            </w:r>
          </w:p>
        </w:tc>
      </w:tr>
      <w:tr w:rsidR="003D545A" w:rsidRPr="008B507C" w14:paraId="02EC9068" w14:textId="77777777" w:rsidTr="004B1D18">
        <w:trPr>
          <w:trHeight w:val="290"/>
        </w:trPr>
        <w:tc>
          <w:tcPr>
            <w:tcW w:w="3539" w:type="dxa"/>
            <w:noWrap/>
            <w:hideMark/>
          </w:tcPr>
          <w:p w14:paraId="688E9633" w14:textId="77777777" w:rsidR="003D545A" w:rsidRPr="008B507C" w:rsidRDefault="003D545A" w:rsidP="00763E55">
            <w:r w:rsidRPr="008B507C">
              <w:lastRenderedPageBreak/>
              <w:t>Education, Health and Care Plan (EHCP)</w:t>
            </w:r>
          </w:p>
        </w:tc>
        <w:tc>
          <w:tcPr>
            <w:tcW w:w="2693" w:type="dxa"/>
            <w:noWrap/>
            <w:hideMark/>
          </w:tcPr>
          <w:p w14:paraId="4125244E" w14:textId="77777777" w:rsidR="003D545A" w:rsidRPr="00B362C4" w:rsidRDefault="003D545A" w:rsidP="00763E55">
            <w:pPr>
              <w:jc w:val="center"/>
            </w:pPr>
            <w:r w:rsidRPr="00B362C4">
              <w:t>49%</w:t>
            </w:r>
          </w:p>
        </w:tc>
      </w:tr>
      <w:tr w:rsidR="003D545A" w:rsidRPr="008B507C" w14:paraId="5FF8980C" w14:textId="77777777" w:rsidTr="004B1D18">
        <w:trPr>
          <w:trHeight w:val="290"/>
        </w:trPr>
        <w:tc>
          <w:tcPr>
            <w:tcW w:w="3539" w:type="dxa"/>
            <w:noWrap/>
            <w:hideMark/>
          </w:tcPr>
          <w:p w14:paraId="486C9583" w14:textId="77777777" w:rsidR="003D545A" w:rsidRPr="008B507C" w:rsidRDefault="003D545A" w:rsidP="00763E55">
            <w:r w:rsidRPr="008B507C">
              <w:t>Special Education Need (SEN) Support</w:t>
            </w:r>
          </w:p>
        </w:tc>
        <w:tc>
          <w:tcPr>
            <w:tcW w:w="2693" w:type="dxa"/>
            <w:noWrap/>
            <w:hideMark/>
          </w:tcPr>
          <w:p w14:paraId="08B0911F" w14:textId="77777777" w:rsidR="003D545A" w:rsidRPr="00B362C4" w:rsidRDefault="003D545A" w:rsidP="00763E55">
            <w:pPr>
              <w:jc w:val="center"/>
            </w:pPr>
            <w:r w:rsidRPr="00B362C4">
              <w:t>44%</w:t>
            </w:r>
          </w:p>
        </w:tc>
      </w:tr>
      <w:tr w:rsidR="003D545A" w:rsidRPr="008B507C" w14:paraId="2E02E425" w14:textId="77777777" w:rsidTr="004B1D18">
        <w:trPr>
          <w:trHeight w:val="290"/>
        </w:trPr>
        <w:tc>
          <w:tcPr>
            <w:tcW w:w="3539" w:type="dxa"/>
            <w:noWrap/>
            <w:hideMark/>
          </w:tcPr>
          <w:p w14:paraId="5EEDE7A3" w14:textId="77777777" w:rsidR="003D545A" w:rsidRPr="008B507C" w:rsidRDefault="003D545A" w:rsidP="00763E55">
            <w:r w:rsidRPr="008B507C">
              <w:t>Not yet assessed</w:t>
            </w:r>
          </w:p>
        </w:tc>
        <w:tc>
          <w:tcPr>
            <w:tcW w:w="2693" w:type="dxa"/>
            <w:noWrap/>
            <w:hideMark/>
          </w:tcPr>
          <w:p w14:paraId="67DC4BE7" w14:textId="242C71A9" w:rsidR="003D545A" w:rsidRPr="00B362C4" w:rsidRDefault="003D545A" w:rsidP="00763E55">
            <w:pPr>
              <w:jc w:val="center"/>
            </w:pPr>
            <w:r>
              <w:t>5</w:t>
            </w:r>
            <w:r w:rsidRPr="00B362C4">
              <w:t>%</w:t>
            </w:r>
          </w:p>
        </w:tc>
      </w:tr>
      <w:tr w:rsidR="003D545A" w:rsidRPr="008B507C" w14:paraId="413C40E7" w14:textId="77777777" w:rsidTr="004B1D18">
        <w:trPr>
          <w:trHeight w:val="290"/>
        </w:trPr>
        <w:tc>
          <w:tcPr>
            <w:tcW w:w="3539" w:type="dxa"/>
            <w:noWrap/>
            <w:hideMark/>
          </w:tcPr>
          <w:p w14:paraId="3FF73BD4" w14:textId="77777777" w:rsidR="003D545A" w:rsidRPr="008B507C" w:rsidRDefault="003D545A" w:rsidP="00763E55">
            <w:r w:rsidRPr="008B507C">
              <w:t>Other</w:t>
            </w:r>
          </w:p>
        </w:tc>
        <w:tc>
          <w:tcPr>
            <w:tcW w:w="2693" w:type="dxa"/>
            <w:noWrap/>
            <w:hideMark/>
          </w:tcPr>
          <w:p w14:paraId="0ABF0C6F" w14:textId="27B1C472" w:rsidR="003D545A" w:rsidRDefault="003D545A" w:rsidP="00763E55">
            <w:pPr>
              <w:jc w:val="center"/>
            </w:pPr>
            <w:r>
              <w:t>4</w:t>
            </w:r>
            <w:r w:rsidRPr="00B362C4">
              <w:t>%</w:t>
            </w:r>
          </w:p>
        </w:tc>
      </w:tr>
    </w:tbl>
    <w:p w14:paraId="2015F37D" w14:textId="77777777" w:rsidR="00D33952" w:rsidRDefault="00D33952" w:rsidP="00D33952"/>
    <w:p w14:paraId="5B85E10D" w14:textId="01B53745" w:rsidR="000010C6" w:rsidRDefault="00CE2C98" w:rsidP="000010C6">
      <w:pPr>
        <w:pStyle w:val="Heading3"/>
      </w:pPr>
      <w:proofErr w:type="spellStart"/>
      <w:r>
        <w:t>B</w:t>
      </w:r>
      <w:r w:rsidR="000010C6">
        <w:t>raillists</w:t>
      </w:r>
      <w:proofErr w:type="spellEnd"/>
    </w:p>
    <w:p w14:paraId="3A179E78" w14:textId="606C455E" w:rsidR="000010C6" w:rsidRDefault="000010C6" w:rsidP="000010C6">
      <w:r w:rsidRPr="00584DDF">
        <w:t xml:space="preserve">The total number </w:t>
      </w:r>
      <w:r>
        <w:t xml:space="preserve">of CYP supported </w:t>
      </w:r>
      <w:r w:rsidRPr="00584DDF">
        <w:t>across 1</w:t>
      </w:r>
      <w:r w:rsidR="00E04D97">
        <w:t>10</w:t>
      </w:r>
      <w:r w:rsidRPr="00584DDF">
        <w:t xml:space="preserve"> local authorities </w:t>
      </w:r>
      <w:r>
        <w:t xml:space="preserve">using braille as their main or sole medium </w:t>
      </w:r>
      <w:r w:rsidRPr="00584DDF">
        <w:t xml:space="preserve">was </w:t>
      </w:r>
      <w:r w:rsidR="00F8354E">
        <w:t>683</w:t>
      </w:r>
      <w:r w:rsidRPr="00584DDF">
        <w:t xml:space="preserve">. This </w:t>
      </w:r>
      <w:r w:rsidR="00A26800">
        <w:t xml:space="preserve">figure is likely to be higher if </w:t>
      </w:r>
      <w:r w:rsidR="00DA5ED0">
        <w:t>dual medi</w:t>
      </w:r>
      <w:r w:rsidR="00F7286B">
        <w:t>a</w:t>
      </w:r>
      <w:r w:rsidR="00DA5ED0">
        <w:t xml:space="preserve"> users</w:t>
      </w:r>
      <w:r w:rsidR="00D13427">
        <w:t xml:space="preserve"> were included however the question only asked about </w:t>
      </w:r>
      <w:r w:rsidR="00545CF0">
        <w:t>the main or sole medium</w:t>
      </w:r>
      <w:r w:rsidR="00254E00">
        <w:t>.</w:t>
      </w:r>
      <w:r w:rsidRPr="00584DDF">
        <w:t xml:space="preserve"> </w:t>
      </w:r>
    </w:p>
    <w:p w14:paraId="372726E7" w14:textId="77777777" w:rsidR="000010C6" w:rsidRDefault="000010C6" w:rsidP="000010C6"/>
    <w:p w14:paraId="1B97BFE2" w14:textId="34ADFF31" w:rsidR="00406BE8" w:rsidRDefault="004A563E" w:rsidP="000010C6">
      <w:r>
        <w:t>23</w:t>
      </w:r>
      <w:r w:rsidR="000010C6" w:rsidRPr="00584DDF">
        <w:t xml:space="preserve"> authorities did not respond to this question or stated a figure of ‘less than five’ due to data protection</w:t>
      </w:r>
      <w:r>
        <w:t xml:space="preserve">. </w:t>
      </w:r>
      <w:r w:rsidR="000010C6" w:rsidRPr="00584DDF">
        <w:t>This represents nearly a quarter of authorities for which we have no data.</w:t>
      </w:r>
      <w:r w:rsidR="00B35220">
        <w:t xml:space="preserve"> </w:t>
      </w:r>
      <w:r w:rsidR="00406BE8">
        <w:t>If all LA</w:t>
      </w:r>
      <w:r w:rsidR="00D85DCF">
        <w:t>s</w:t>
      </w:r>
      <w:r w:rsidR="00406BE8">
        <w:t xml:space="preserve"> ha</w:t>
      </w:r>
      <w:r w:rsidR="00907A4A">
        <w:t>d</w:t>
      </w:r>
      <w:r w:rsidR="00406BE8">
        <w:t xml:space="preserve"> respon</w:t>
      </w:r>
      <w:r w:rsidR="00184D5A">
        <w:t>d</w:t>
      </w:r>
      <w:r w:rsidR="00406BE8">
        <w:t>ed</w:t>
      </w:r>
      <w:r w:rsidR="009E127F">
        <w:t>,</w:t>
      </w:r>
      <w:r w:rsidR="00406BE8">
        <w:t xml:space="preserve"> we estimate </w:t>
      </w:r>
      <w:r w:rsidR="009E127F">
        <w:t>around</w:t>
      </w:r>
      <w:r w:rsidR="00406BE8">
        <w:t xml:space="preserve"> 1</w:t>
      </w:r>
      <w:r w:rsidR="009E127F">
        <w:t>,</w:t>
      </w:r>
      <w:r w:rsidR="00406BE8">
        <w:t>00</w:t>
      </w:r>
      <w:r w:rsidR="00184D5A">
        <w:t>0</w:t>
      </w:r>
      <w:r w:rsidR="00406BE8">
        <w:t xml:space="preserve"> CYP </w:t>
      </w:r>
      <w:r w:rsidR="009E127F">
        <w:t>will</w:t>
      </w:r>
      <w:r w:rsidR="00B35220">
        <w:t xml:space="preserve"> currently</w:t>
      </w:r>
      <w:r w:rsidR="009E127F">
        <w:t xml:space="preserve"> be</w:t>
      </w:r>
      <w:r w:rsidR="00B35220">
        <w:t xml:space="preserve"> </w:t>
      </w:r>
      <w:r w:rsidR="00406BE8">
        <w:t xml:space="preserve">using braille as their sole </w:t>
      </w:r>
      <w:r w:rsidR="008A4268">
        <w:t xml:space="preserve">or main </w:t>
      </w:r>
      <w:r w:rsidR="00406BE8">
        <w:t>medium</w:t>
      </w:r>
      <w:r w:rsidR="00184D5A">
        <w:t xml:space="preserve">. </w:t>
      </w:r>
    </w:p>
    <w:p w14:paraId="7796D678" w14:textId="77777777" w:rsidR="00535CDA" w:rsidRDefault="00535CDA" w:rsidP="00535CDA"/>
    <w:p w14:paraId="1D2E1F31" w14:textId="0B2D5298" w:rsidR="005F1394" w:rsidRPr="005F1394" w:rsidRDefault="00535CDA" w:rsidP="00072745">
      <w:pPr>
        <w:pStyle w:val="Heading3"/>
      </w:pPr>
      <w:r>
        <w:t>Criteria for support levels and eligibility for EHCP assessment</w:t>
      </w:r>
    </w:p>
    <w:p w14:paraId="1EF0B650" w14:textId="1223BEB0" w:rsidR="00B86753" w:rsidRDefault="00535CDA" w:rsidP="00535CDA">
      <w:r>
        <w:t xml:space="preserve">When asked about the criteria </w:t>
      </w:r>
      <w:r w:rsidRPr="00791B68">
        <w:t>use</w:t>
      </w:r>
      <w:r w:rsidR="00E46B2B">
        <w:t>d</w:t>
      </w:r>
      <w:r w:rsidRPr="00791B68">
        <w:t xml:space="preserve"> for allocating levels of support</w:t>
      </w:r>
      <w:r w:rsidR="00A43484">
        <w:t xml:space="preserve"> authorities could </w:t>
      </w:r>
      <w:r w:rsidR="002B5A9E">
        <w:t xml:space="preserve">select multiple answers. </w:t>
      </w:r>
      <w:r w:rsidR="00AA1F1D">
        <w:t xml:space="preserve">Of 128 authorities, </w:t>
      </w:r>
      <w:r w:rsidR="00FD6D23">
        <w:t>88</w:t>
      </w:r>
      <w:r>
        <w:t>% responded that the NatSIP eligibility framework was used and 2</w:t>
      </w:r>
      <w:r w:rsidR="008538C4">
        <w:t>2</w:t>
      </w:r>
      <w:r>
        <w:t>% said that criteria were locally developed</w:t>
      </w:r>
      <w:r w:rsidR="00B86753">
        <w:t>.</w:t>
      </w:r>
      <w:r w:rsidR="00A43484">
        <w:t xml:space="preserve"> </w:t>
      </w:r>
      <w:r w:rsidR="00B86753">
        <w:t xml:space="preserve">Several authorities </w:t>
      </w:r>
      <w:r w:rsidR="00BA32C2">
        <w:t xml:space="preserve">indicated that </w:t>
      </w:r>
      <w:r w:rsidR="00211976">
        <w:t xml:space="preserve">elements of locally developed framework </w:t>
      </w:r>
      <w:r w:rsidR="00617908">
        <w:t>w</w:t>
      </w:r>
      <w:r w:rsidR="00D050AF">
        <w:t xml:space="preserve">ere taken from </w:t>
      </w:r>
      <w:r w:rsidR="00F87BA6">
        <w:t>NatSIP</w:t>
      </w:r>
      <w:r w:rsidR="001E6FA1">
        <w:t xml:space="preserve">. </w:t>
      </w:r>
      <w:r w:rsidR="008B3AFE">
        <w:t xml:space="preserve">This </w:t>
      </w:r>
      <w:r w:rsidR="00907A4A">
        <w:t xml:space="preserve">variance </w:t>
      </w:r>
      <w:r w:rsidR="00B5688C">
        <w:t xml:space="preserve">in criteria </w:t>
      </w:r>
      <w:r w:rsidR="008B3AFE">
        <w:t>suggest</w:t>
      </w:r>
      <w:r w:rsidR="00F54A0F">
        <w:t>s</w:t>
      </w:r>
      <w:r w:rsidR="008B3AFE">
        <w:t xml:space="preserve"> no </w:t>
      </w:r>
      <w:r w:rsidR="002D7243">
        <w:t xml:space="preserve">complete </w:t>
      </w:r>
      <w:r w:rsidR="006309B6">
        <w:t>standardisatio</w:t>
      </w:r>
      <w:r w:rsidR="00B5688C">
        <w:t>n across the country</w:t>
      </w:r>
      <w:r w:rsidR="00907A4A">
        <w:t xml:space="preserve"> although 2/3 use the NatSIP eligibility framework</w:t>
      </w:r>
      <w:r w:rsidR="00B5688C">
        <w:t xml:space="preserve">. </w:t>
      </w:r>
    </w:p>
    <w:p w14:paraId="442916F2" w14:textId="6F3ACA7D" w:rsidR="00535CDA" w:rsidRDefault="00535CDA" w:rsidP="00535CDA"/>
    <w:p w14:paraId="3D770FFA" w14:textId="21AA2122" w:rsidR="00AC5988" w:rsidRDefault="00AC5988" w:rsidP="00535CDA">
      <w:r>
        <w:t>When aske</w:t>
      </w:r>
      <w:r w:rsidR="00EA1CF4">
        <w:t>d</w:t>
      </w:r>
      <w:r>
        <w:t xml:space="preserve"> if CYP with vision impairments are required to meet any</w:t>
      </w:r>
      <w:r w:rsidR="00A33446">
        <w:t xml:space="preserve"> specific eligibility criteria before being considered for assessment for EHCP, </w:t>
      </w:r>
      <w:r w:rsidR="00A33446" w:rsidRPr="00EE1A76">
        <w:t>57% said that a specific level or severity of vision impairment needs to be met</w:t>
      </w:r>
      <w:r w:rsidR="00294F90">
        <w:t>.</w:t>
      </w:r>
      <w:r w:rsidR="006107E8">
        <w:t xml:space="preserve"> 1</w:t>
      </w:r>
      <w:r w:rsidR="00A33446" w:rsidRPr="00EE1A76">
        <w:t>9% responded that the CYP must be failing to make the expected level of progress. A further 4% said they are expected to attend a special school and 10% said they must have an additional SEND</w:t>
      </w:r>
      <w:r w:rsidR="006E78B9">
        <w:t>. A</w:t>
      </w:r>
      <w:r w:rsidR="001B1A3A">
        <w:t xml:space="preserve">uthorities </w:t>
      </w:r>
      <w:r w:rsidR="006E78B9">
        <w:t xml:space="preserve">were able to </w:t>
      </w:r>
      <w:r w:rsidR="001B1A3A">
        <w:t>select multiple options and note other criteria not listed</w:t>
      </w:r>
      <w:r w:rsidR="006E78B9">
        <w:t xml:space="preserve">. </w:t>
      </w:r>
    </w:p>
    <w:p w14:paraId="0951127B" w14:textId="77777777" w:rsidR="00535CDA" w:rsidRDefault="00535CDA" w:rsidP="00535CDA">
      <w:pPr>
        <w:rPr>
          <w:color w:val="FF0000"/>
        </w:rPr>
      </w:pPr>
    </w:p>
    <w:p w14:paraId="063EA160" w14:textId="2BB863AD" w:rsidR="00535CDA" w:rsidRDefault="00F347EA" w:rsidP="00535CDA">
      <w:r>
        <w:t>It is evident f</w:t>
      </w:r>
      <w:r w:rsidR="001A7246">
        <w:t>ro</w:t>
      </w:r>
      <w:r>
        <w:t xml:space="preserve">m the above figures that </w:t>
      </w:r>
      <w:r w:rsidR="002504F8">
        <w:t xml:space="preserve">assessment </w:t>
      </w:r>
      <w:r>
        <w:t>c</w:t>
      </w:r>
      <w:r w:rsidRPr="00FA73BB">
        <w:t>riteria are not applied equally across the country</w:t>
      </w:r>
      <w:r w:rsidR="004C207A">
        <w:t>,</w:t>
      </w:r>
      <w:r w:rsidRPr="00FA73BB">
        <w:t xml:space="preserve"> </w:t>
      </w:r>
      <w:r w:rsidR="002504F8">
        <w:t>therefore hindering the eligibility of children with vision impairment</w:t>
      </w:r>
      <w:r w:rsidR="004C207A">
        <w:t xml:space="preserve"> to be </w:t>
      </w:r>
      <w:r w:rsidR="00907A4A">
        <w:t>equally</w:t>
      </w:r>
      <w:r w:rsidR="008737B9">
        <w:t xml:space="preserve"> </w:t>
      </w:r>
      <w:r w:rsidR="004C207A">
        <w:t>assessed for ECHP.</w:t>
      </w:r>
      <w:r w:rsidR="00DB117A">
        <w:t xml:space="preserve"> Thus</w:t>
      </w:r>
      <w:r w:rsidR="00485C2E">
        <w:t>,</w:t>
      </w:r>
      <w:r w:rsidR="00DB117A">
        <w:t xml:space="preserve"> </w:t>
      </w:r>
      <w:r w:rsidR="00535CDA" w:rsidRPr="00FA73BB">
        <w:lastRenderedPageBreak/>
        <w:t>leaving children in some authorities without support</w:t>
      </w:r>
      <w:r w:rsidR="00535CDA">
        <w:t xml:space="preserve"> </w:t>
      </w:r>
      <w:r w:rsidR="00535CDA" w:rsidRPr="00FA73BB">
        <w:t xml:space="preserve">while others in a similar situation elsewhere would receive </w:t>
      </w:r>
      <w:r w:rsidR="00535CDA">
        <w:t xml:space="preserve">this </w:t>
      </w:r>
      <w:r w:rsidR="00535CDA" w:rsidRPr="00FA73BB">
        <w:t>support.</w:t>
      </w:r>
    </w:p>
    <w:p w14:paraId="3A3E9620" w14:textId="0E1217C7" w:rsidR="00DB117A" w:rsidRDefault="00DB117A" w:rsidP="00535CDA"/>
    <w:p w14:paraId="79D1AD2C" w14:textId="4914D895" w:rsidR="002146FD" w:rsidRDefault="003D3F19" w:rsidP="00535CDA">
      <w:r>
        <w:t>A l</w:t>
      </w:r>
      <w:r w:rsidR="00DB117A">
        <w:t>arge number</w:t>
      </w:r>
      <w:r w:rsidR="00485C2E">
        <w:t xml:space="preserve"> of authorities also use</w:t>
      </w:r>
      <w:r w:rsidR="000C5A2E">
        <w:t>d</w:t>
      </w:r>
      <w:r w:rsidR="00485C2E">
        <w:t xml:space="preserve"> the </w:t>
      </w:r>
      <w:r w:rsidR="00856660">
        <w:t>‘</w:t>
      </w:r>
      <w:r w:rsidR="00485C2E">
        <w:t>other</w:t>
      </w:r>
      <w:r w:rsidR="00856660">
        <w:t>’</w:t>
      </w:r>
      <w:r w:rsidR="00485C2E">
        <w:t xml:space="preserve"> option</w:t>
      </w:r>
      <w:r w:rsidR="00856660">
        <w:t xml:space="preserve"> provided in the survey</w:t>
      </w:r>
      <w:r w:rsidR="00485C2E">
        <w:t>.</w:t>
      </w:r>
      <w:r w:rsidR="00824AE1">
        <w:t xml:space="preserve"> </w:t>
      </w:r>
      <w:r w:rsidR="00852936">
        <w:t xml:space="preserve">Just under a third of authorities noted that </w:t>
      </w:r>
      <w:r w:rsidR="0093030C">
        <w:t>CYP</w:t>
      </w:r>
      <w:r w:rsidR="0071789B">
        <w:t xml:space="preserve"> </w:t>
      </w:r>
      <w:r w:rsidR="007B463A">
        <w:t xml:space="preserve">are </w:t>
      </w:r>
      <w:r w:rsidR="007E4176">
        <w:t>assess</w:t>
      </w:r>
      <w:r w:rsidR="00453A19">
        <w:t xml:space="preserve">ed </w:t>
      </w:r>
      <w:r w:rsidR="0071789B">
        <w:t xml:space="preserve">on individual circumstances </w:t>
      </w:r>
      <w:r w:rsidR="007E4176">
        <w:t>for their eligibility of EHCP</w:t>
      </w:r>
      <w:r w:rsidR="00B729F5">
        <w:t xml:space="preserve"> </w:t>
      </w:r>
      <w:r w:rsidR="007E4176">
        <w:t>as o</w:t>
      </w:r>
      <w:r w:rsidR="00DF790F">
        <w:t>ppose</w:t>
      </w:r>
      <w:r w:rsidR="00907A4A">
        <w:t>d</w:t>
      </w:r>
      <w:r w:rsidR="00DF790F">
        <w:t xml:space="preserve"> to strict criteria.</w:t>
      </w:r>
      <w:r w:rsidR="00E937D8">
        <w:t xml:space="preserve"> </w:t>
      </w:r>
    </w:p>
    <w:p w14:paraId="29B30BB7" w14:textId="77777777" w:rsidR="0028618A" w:rsidRDefault="0028618A" w:rsidP="00535CDA"/>
    <w:p w14:paraId="0CBE9908" w14:textId="0A624136" w:rsidR="000F3631" w:rsidRDefault="00C927E8" w:rsidP="00535CDA">
      <w:r>
        <w:t xml:space="preserve">Several </w:t>
      </w:r>
      <w:r w:rsidR="00E7644A">
        <w:t>other</w:t>
      </w:r>
      <w:r w:rsidR="00987A6B">
        <w:t>s</w:t>
      </w:r>
      <w:r>
        <w:t xml:space="preserve"> stated that although </w:t>
      </w:r>
      <w:r w:rsidR="00462338">
        <w:t>“</w:t>
      </w:r>
      <w:r w:rsidRPr="00C927E8">
        <w:t xml:space="preserve">visual acuity is part of </w:t>
      </w:r>
      <w:r w:rsidR="00987A6B">
        <w:t>it</w:t>
      </w:r>
      <w:r>
        <w:t>, t</w:t>
      </w:r>
      <w:r w:rsidRPr="00C927E8">
        <w:t>here needs to be evidence of the presence of vision impairment</w:t>
      </w:r>
      <w:r w:rsidR="00A31B28">
        <w:t>”</w:t>
      </w:r>
      <w:r w:rsidR="002577DF">
        <w:t xml:space="preserve">. Other required the use of a medical diagnosis or </w:t>
      </w:r>
      <w:r w:rsidR="00A500EA">
        <w:t xml:space="preserve">involvement of an </w:t>
      </w:r>
      <w:r w:rsidR="00140B80">
        <w:t>ophthalmologist</w:t>
      </w:r>
      <w:r w:rsidR="0085694C">
        <w:t>.</w:t>
      </w:r>
    </w:p>
    <w:p w14:paraId="54A2FA80" w14:textId="77777777" w:rsidR="00292E34" w:rsidRDefault="00292E34" w:rsidP="00535CDA"/>
    <w:p w14:paraId="5B80D087" w14:textId="604CFA0C" w:rsidR="001916A8" w:rsidRDefault="000F2312" w:rsidP="00375F76">
      <w:pPr>
        <w:pStyle w:val="Heading2"/>
      </w:pPr>
      <w:bookmarkStart w:id="23" w:name="_Toc19300782"/>
      <w:bookmarkStart w:id="24" w:name="_Toc63761423"/>
      <w:r w:rsidRPr="00375F76">
        <w:t>4.3 Teachers and support staff</w:t>
      </w:r>
      <w:bookmarkEnd w:id="23"/>
      <w:bookmarkEnd w:id="24"/>
    </w:p>
    <w:p w14:paraId="3292429A" w14:textId="49E25F5F" w:rsidR="000F2312" w:rsidRDefault="000F2312" w:rsidP="000F2312">
      <w:pPr>
        <w:pStyle w:val="Heading3"/>
      </w:pPr>
      <w:r>
        <w:t>QTVI posts</w:t>
      </w:r>
    </w:p>
    <w:p w14:paraId="3292396D" w14:textId="4945946A" w:rsidR="00A841FE" w:rsidRPr="005400FC" w:rsidRDefault="009647CD" w:rsidP="00D6460B">
      <w:pPr>
        <w:tabs>
          <w:tab w:val="left" w:pos="567"/>
        </w:tabs>
        <w:rPr>
          <w:lang w:eastAsia="en-GB"/>
        </w:rPr>
      </w:pPr>
      <w:r>
        <w:rPr>
          <w:lang w:eastAsia="en-GB"/>
        </w:rPr>
        <w:t xml:space="preserve">There </w:t>
      </w:r>
      <w:proofErr w:type="gramStart"/>
      <w:r w:rsidR="00936E45">
        <w:rPr>
          <w:lang w:eastAsia="en-GB"/>
        </w:rPr>
        <w:t>are</w:t>
      </w:r>
      <w:proofErr w:type="gramEnd"/>
      <w:r>
        <w:rPr>
          <w:lang w:eastAsia="en-GB"/>
        </w:rPr>
        <w:t xml:space="preserve"> a total of </w:t>
      </w:r>
      <w:r w:rsidR="00143631">
        <w:rPr>
          <w:lang w:eastAsia="en-GB"/>
        </w:rPr>
        <w:t>49</w:t>
      </w:r>
      <w:r w:rsidR="00F00DE7">
        <w:rPr>
          <w:lang w:eastAsia="en-GB"/>
        </w:rPr>
        <w:t>9</w:t>
      </w:r>
      <w:r w:rsidR="00143631">
        <w:rPr>
          <w:lang w:eastAsia="en-GB"/>
        </w:rPr>
        <w:t xml:space="preserve"> FT</w:t>
      </w:r>
      <w:r w:rsidR="008973EE">
        <w:rPr>
          <w:lang w:eastAsia="en-GB"/>
        </w:rPr>
        <w:t>E</w:t>
      </w:r>
      <w:r w:rsidR="00143631">
        <w:rPr>
          <w:lang w:eastAsia="en-GB"/>
        </w:rPr>
        <w:t xml:space="preserve"> posts for QTVI’s</w:t>
      </w:r>
      <w:r w:rsidR="00F72206">
        <w:rPr>
          <w:lang w:eastAsia="en-GB"/>
        </w:rPr>
        <w:t xml:space="preserve"> across 133 local </w:t>
      </w:r>
      <w:r w:rsidR="00960D6F">
        <w:rPr>
          <w:lang w:eastAsia="en-GB"/>
        </w:rPr>
        <w:t>a</w:t>
      </w:r>
      <w:r w:rsidR="00F72206">
        <w:rPr>
          <w:lang w:eastAsia="en-GB"/>
        </w:rPr>
        <w:t>uthorities</w:t>
      </w:r>
      <w:r w:rsidR="00DF2308">
        <w:rPr>
          <w:lang w:eastAsia="en-GB"/>
        </w:rPr>
        <w:t>, t</w:t>
      </w:r>
      <w:r w:rsidR="0098446E">
        <w:rPr>
          <w:lang w:eastAsia="en-GB"/>
        </w:rPr>
        <w:t xml:space="preserve">his figure </w:t>
      </w:r>
      <w:r w:rsidR="002F7BB8">
        <w:rPr>
          <w:lang w:eastAsia="en-GB"/>
        </w:rPr>
        <w:t xml:space="preserve">is inclusive </w:t>
      </w:r>
      <w:r w:rsidR="0098446E">
        <w:rPr>
          <w:lang w:eastAsia="en-GB"/>
        </w:rPr>
        <w:t>of the</w:t>
      </w:r>
      <w:r w:rsidR="002D43F8">
        <w:rPr>
          <w:lang w:eastAsia="en-GB"/>
        </w:rPr>
        <w:t xml:space="preserve"> </w:t>
      </w:r>
      <w:r w:rsidR="002D43F8" w:rsidRPr="005400FC">
        <w:rPr>
          <w:lang w:eastAsia="en-GB"/>
        </w:rPr>
        <w:t>those in training or due to begin</w:t>
      </w:r>
      <w:r w:rsidR="007C0E83">
        <w:rPr>
          <w:lang w:eastAsia="en-GB"/>
        </w:rPr>
        <w:t xml:space="preserve"> </w:t>
      </w:r>
      <w:r w:rsidR="002D43F8" w:rsidRPr="005400FC">
        <w:rPr>
          <w:lang w:eastAsia="en-GB"/>
        </w:rPr>
        <w:t>training</w:t>
      </w:r>
      <w:r w:rsidR="00DF2308">
        <w:rPr>
          <w:lang w:eastAsia="en-GB"/>
        </w:rPr>
        <w:t>.</w:t>
      </w:r>
      <w:r w:rsidR="00492DC3">
        <w:rPr>
          <w:lang w:eastAsia="en-GB"/>
        </w:rPr>
        <w:t xml:space="preserve"> </w:t>
      </w:r>
      <w:r w:rsidR="00253BEC">
        <w:rPr>
          <w:lang w:eastAsia="en-GB"/>
        </w:rPr>
        <w:t>78</w:t>
      </w:r>
      <w:r w:rsidR="00D6460B" w:rsidRPr="001D6990">
        <w:rPr>
          <w:lang w:eastAsia="en-GB"/>
        </w:rPr>
        <w:t>% of</w:t>
      </w:r>
      <w:r w:rsidR="00D6460B">
        <w:rPr>
          <w:lang w:eastAsia="en-GB"/>
        </w:rPr>
        <w:t xml:space="preserve"> </w:t>
      </w:r>
      <w:r w:rsidR="00D6460B" w:rsidRPr="001D6990">
        <w:rPr>
          <w:lang w:eastAsia="en-GB"/>
        </w:rPr>
        <w:t>QTVI’s hold the mandatory qualifications in VI, with a further 1</w:t>
      </w:r>
      <w:r w:rsidR="00B4491A">
        <w:rPr>
          <w:lang w:eastAsia="en-GB"/>
        </w:rPr>
        <w:t>4</w:t>
      </w:r>
      <w:r w:rsidR="00D6460B" w:rsidRPr="001D6990">
        <w:rPr>
          <w:lang w:eastAsia="en-GB"/>
        </w:rPr>
        <w:t>%</w:t>
      </w:r>
      <w:r w:rsidR="00D6460B">
        <w:rPr>
          <w:lang w:eastAsia="en-GB"/>
        </w:rPr>
        <w:t xml:space="preserve"> </w:t>
      </w:r>
      <w:r w:rsidR="00D6460B" w:rsidRPr="001D6990">
        <w:rPr>
          <w:lang w:eastAsia="en-GB"/>
        </w:rPr>
        <w:t>currently</w:t>
      </w:r>
      <w:r w:rsidR="00D6460B">
        <w:rPr>
          <w:lang w:eastAsia="en-GB"/>
        </w:rPr>
        <w:t xml:space="preserve"> </w:t>
      </w:r>
      <w:r w:rsidR="00D6460B" w:rsidRPr="001D6990">
        <w:rPr>
          <w:lang w:eastAsia="en-GB"/>
        </w:rPr>
        <w:t>in or due to begin training.</w:t>
      </w:r>
      <w:r w:rsidR="00F33637">
        <w:rPr>
          <w:lang w:eastAsia="en-GB"/>
        </w:rPr>
        <w:t xml:space="preserve"> 5% hold </w:t>
      </w:r>
      <w:r w:rsidR="00F33637" w:rsidRPr="00F33637">
        <w:rPr>
          <w:lang w:eastAsia="en-GB"/>
        </w:rPr>
        <w:t>QTMSI</w:t>
      </w:r>
      <w:r w:rsidR="008737B9">
        <w:rPr>
          <w:lang w:eastAsia="en-GB"/>
        </w:rPr>
        <w:t xml:space="preserve"> </w:t>
      </w:r>
      <w:r w:rsidR="008C5F7F">
        <w:rPr>
          <w:lang w:eastAsia="en-GB"/>
        </w:rPr>
        <w:t xml:space="preserve">and only 3% hold both </w:t>
      </w:r>
      <w:r w:rsidR="008C5F7F" w:rsidRPr="008C5F7F">
        <w:rPr>
          <w:lang w:eastAsia="en-GB"/>
        </w:rPr>
        <w:t>QTVI and QTMSI MQ</w:t>
      </w:r>
      <w:r w:rsidR="008C5F7F">
        <w:rPr>
          <w:lang w:eastAsia="en-GB"/>
        </w:rPr>
        <w:t>.</w:t>
      </w:r>
      <w:r w:rsidR="0026534F">
        <w:rPr>
          <w:lang w:eastAsia="en-GB"/>
        </w:rPr>
        <w:t xml:space="preserve"> </w:t>
      </w:r>
    </w:p>
    <w:p w14:paraId="4E304AD1" w14:textId="77777777" w:rsidR="00B421F1" w:rsidRDefault="00B421F1" w:rsidP="005400FC">
      <w:pPr>
        <w:tabs>
          <w:tab w:val="left" w:pos="567"/>
        </w:tabs>
        <w:rPr>
          <w:lang w:eastAsia="en-GB"/>
        </w:rPr>
      </w:pPr>
    </w:p>
    <w:p w14:paraId="19A1A469" w14:textId="2C3FCD74" w:rsidR="00494307" w:rsidRPr="00AB5385" w:rsidRDefault="00B421F1" w:rsidP="007C0E83">
      <w:pPr>
        <w:tabs>
          <w:tab w:val="left" w:pos="567"/>
        </w:tabs>
        <w:rPr>
          <w:lang w:eastAsia="en-GB"/>
        </w:rPr>
      </w:pPr>
      <w:r>
        <w:rPr>
          <w:lang w:eastAsia="en-GB"/>
        </w:rPr>
        <w:t>36% of local authorities have reported an increase in full time QTVI’s compared with 2019.</w:t>
      </w:r>
      <w:r w:rsidR="00951212">
        <w:rPr>
          <w:lang w:eastAsia="en-GB"/>
        </w:rPr>
        <w:t xml:space="preserve"> </w:t>
      </w:r>
      <w:r>
        <w:rPr>
          <w:lang w:eastAsia="en-GB"/>
        </w:rPr>
        <w:t>A similar proportion (35%) reported their QTVI numbers remained the same, and 29% reported a decrease.</w:t>
      </w:r>
      <w:r w:rsidR="007C0E83">
        <w:rPr>
          <w:lang w:eastAsia="en-GB"/>
        </w:rPr>
        <w:t xml:space="preserve"> </w:t>
      </w:r>
      <w:r w:rsidR="008E01BE">
        <w:rPr>
          <w:lang w:eastAsia="en-GB"/>
        </w:rPr>
        <w:t>When</w:t>
      </w:r>
      <w:r w:rsidR="000D2D57">
        <w:rPr>
          <w:lang w:eastAsia="en-GB"/>
        </w:rPr>
        <w:t xml:space="preserve"> c</w:t>
      </w:r>
      <w:r w:rsidR="007C0E83">
        <w:rPr>
          <w:lang w:eastAsia="en-GB"/>
        </w:rPr>
        <w:t>ompar</w:t>
      </w:r>
      <w:r w:rsidR="000D2D57">
        <w:rPr>
          <w:lang w:eastAsia="en-GB"/>
        </w:rPr>
        <w:t xml:space="preserve">ed with </w:t>
      </w:r>
      <w:r w:rsidR="007C0E83">
        <w:rPr>
          <w:lang w:eastAsia="en-GB"/>
        </w:rPr>
        <w:t>FTE QTVI figures over the last three years</w:t>
      </w:r>
      <w:r w:rsidR="000D2D57">
        <w:rPr>
          <w:lang w:eastAsia="en-GB"/>
        </w:rPr>
        <w:t xml:space="preserve">, </w:t>
      </w:r>
      <w:r w:rsidR="007C0E83">
        <w:rPr>
          <w:lang w:eastAsia="en-GB"/>
        </w:rPr>
        <w:t>57% of local authorities recorded an increase</w:t>
      </w:r>
      <w:r w:rsidR="0056560C">
        <w:rPr>
          <w:lang w:eastAsia="en-GB"/>
        </w:rPr>
        <w:t xml:space="preserve">. </w:t>
      </w:r>
      <w:r w:rsidR="007C0E83">
        <w:rPr>
          <w:lang w:eastAsia="en-GB"/>
        </w:rPr>
        <w:t>12% recorded their QTVI figure remained the same, and 31% recorded a decrease</w:t>
      </w:r>
      <w:r w:rsidR="007C0E83" w:rsidRPr="005C60D1">
        <w:rPr>
          <w:lang w:eastAsia="en-GB"/>
        </w:rPr>
        <w:t>.</w:t>
      </w:r>
      <w:r w:rsidR="005C60D1" w:rsidRPr="005C60D1">
        <w:rPr>
          <w:lang w:eastAsia="en-GB"/>
        </w:rPr>
        <w:t xml:space="preserve"> </w:t>
      </w:r>
    </w:p>
    <w:p w14:paraId="48C7EE03" w14:textId="5C2FF107" w:rsidR="00B421F1" w:rsidRDefault="00B421F1" w:rsidP="00B421F1">
      <w:pPr>
        <w:tabs>
          <w:tab w:val="left" w:pos="567"/>
        </w:tabs>
        <w:rPr>
          <w:lang w:eastAsia="en-GB"/>
        </w:rPr>
      </w:pPr>
    </w:p>
    <w:p w14:paraId="31D9BA55" w14:textId="05157C6F" w:rsidR="000F2312" w:rsidRDefault="000F2312" w:rsidP="000F2312">
      <w:pPr>
        <w:tabs>
          <w:tab w:val="left" w:pos="567"/>
        </w:tabs>
        <w:rPr>
          <w:lang w:eastAsia="en-GB"/>
        </w:rPr>
      </w:pPr>
      <w:r w:rsidRPr="3DCDF642">
        <w:rPr>
          <w:lang w:eastAsia="en-GB"/>
        </w:rPr>
        <w:t xml:space="preserve">The total active caseload was </w:t>
      </w:r>
      <w:r w:rsidR="007912F5">
        <w:rPr>
          <w:lang w:eastAsia="en-GB"/>
        </w:rPr>
        <w:t>2</w:t>
      </w:r>
      <w:r w:rsidR="00540EF6">
        <w:rPr>
          <w:lang w:eastAsia="en-GB"/>
        </w:rPr>
        <w:t>3,</w:t>
      </w:r>
      <w:r w:rsidR="006D0907">
        <w:rPr>
          <w:lang w:eastAsia="en-GB"/>
        </w:rPr>
        <w:t>365</w:t>
      </w:r>
      <w:r w:rsidRPr="3DCDF642">
        <w:rPr>
          <w:lang w:eastAsia="en-GB"/>
        </w:rPr>
        <w:t xml:space="preserve"> across </w:t>
      </w:r>
      <w:r w:rsidR="008F764E">
        <w:rPr>
          <w:lang w:eastAsia="en-GB"/>
        </w:rPr>
        <w:t>1</w:t>
      </w:r>
      <w:r w:rsidR="003F1882">
        <w:rPr>
          <w:lang w:eastAsia="en-GB"/>
        </w:rPr>
        <w:t>33</w:t>
      </w:r>
      <w:r w:rsidRPr="3DCDF642">
        <w:rPr>
          <w:lang w:eastAsia="en-GB"/>
        </w:rPr>
        <w:t xml:space="preserve"> local authoritie</w:t>
      </w:r>
      <w:r w:rsidR="0085025F">
        <w:rPr>
          <w:lang w:eastAsia="en-GB"/>
        </w:rPr>
        <w:t>s</w:t>
      </w:r>
      <w:r w:rsidRPr="3DCDF642">
        <w:rPr>
          <w:lang w:eastAsia="en-GB"/>
        </w:rPr>
        <w:t>,</w:t>
      </w:r>
      <w:r w:rsidR="0085025F">
        <w:rPr>
          <w:lang w:eastAsia="en-GB"/>
        </w:rPr>
        <w:t xml:space="preserve"> </w:t>
      </w:r>
      <w:r w:rsidRPr="000B7E9E">
        <w:rPr>
          <w:lang w:eastAsia="en-GB"/>
        </w:rPr>
        <w:t xml:space="preserve">resulting in an average caseload ratio of </w:t>
      </w:r>
      <w:r w:rsidR="000B7E9E" w:rsidRPr="000B7E9E">
        <w:rPr>
          <w:lang w:eastAsia="en-GB"/>
        </w:rPr>
        <w:t>4</w:t>
      </w:r>
      <w:r w:rsidR="00D33BD7">
        <w:rPr>
          <w:lang w:eastAsia="en-GB"/>
        </w:rPr>
        <w:t>7</w:t>
      </w:r>
      <w:r w:rsidRPr="000B7E9E">
        <w:rPr>
          <w:lang w:eastAsia="en-GB"/>
        </w:rPr>
        <w:t xml:space="preserve"> pupils to every FTE QTVI</w:t>
      </w:r>
      <w:r w:rsidRPr="3DCDF642">
        <w:rPr>
          <w:lang w:eastAsia="en-GB"/>
        </w:rPr>
        <w:t>.</w:t>
      </w:r>
      <w:r w:rsidR="002908CD">
        <w:rPr>
          <w:lang w:eastAsia="en-GB"/>
        </w:rPr>
        <w:t xml:space="preserve"> </w:t>
      </w:r>
      <w:r w:rsidR="00563092">
        <w:rPr>
          <w:lang w:eastAsia="en-GB"/>
        </w:rPr>
        <w:t>11</w:t>
      </w:r>
      <w:r w:rsidRPr="00676000">
        <w:rPr>
          <w:lang w:eastAsia="en-GB"/>
        </w:rPr>
        <w:t>%</w:t>
      </w:r>
      <w:r w:rsidRPr="3DCDF642">
        <w:rPr>
          <w:lang w:eastAsia="en-GB"/>
        </w:rPr>
        <w:t xml:space="preserve"> of the 1</w:t>
      </w:r>
      <w:r w:rsidR="008B6740">
        <w:rPr>
          <w:lang w:eastAsia="en-GB"/>
        </w:rPr>
        <w:t>3</w:t>
      </w:r>
      <w:r w:rsidR="00A012B4">
        <w:rPr>
          <w:lang w:eastAsia="en-GB"/>
        </w:rPr>
        <w:t>3</w:t>
      </w:r>
      <w:r w:rsidRPr="3DCDF642">
        <w:rPr>
          <w:lang w:eastAsia="en-GB"/>
        </w:rPr>
        <w:t xml:space="preserve"> local authorities had an average caseload ratio of over 100</w:t>
      </w:r>
      <w:r w:rsidRPr="00EE642D">
        <w:rPr>
          <w:lang w:eastAsia="en-GB"/>
        </w:rPr>
        <w:t xml:space="preserve">. This figure has </w:t>
      </w:r>
      <w:r w:rsidR="00497FC2" w:rsidRPr="00EE642D">
        <w:rPr>
          <w:lang w:eastAsia="en-GB"/>
        </w:rPr>
        <w:t>decreased</w:t>
      </w:r>
      <w:r w:rsidRPr="00EE642D">
        <w:rPr>
          <w:lang w:eastAsia="en-GB"/>
        </w:rPr>
        <w:t xml:space="preserve"> from 2017, which saw </w:t>
      </w:r>
      <w:r w:rsidR="00497FC2" w:rsidRPr="00EE642D">
        <w:rPr>
          <w:lang w:eastAsia="en-GB"/>
        </w:rPr>
        <w:t>13</w:t>
      </w:r>
      <w:r w:rsidRPr="00EE642D">
        <w:rPr>
          <w:lang w:eastAsia="en-GB"/>
        </w:rPr>
        <w:t>% of local authorities have an average caseload ratio of over 100</w:t>
      </w:r>
      <w:r w:rsidR="00FB3F8B">
        <w:rPr>
          <w:lang w:eastAsia="en-GB"/>
        </w:rPr>
        <w:t>.</w:t>
      </w:r>
    </w:p>
    <w:p w14:paraId="59C73A7D" w14:textId="6C5736A3" w:rsidR="000F2312" w:rsidRDefault="000F2312" w:rsidP="000F2312">
      <w:pPr>
        <w:tabs>
          <w:tab w:val="left" w:pos="567"/>
        </w:tabs>
        <w:rPr>
          <w:highlight w:val="yellow"/>
          <w:lang w:eastAsia="en-GB"/>
        </w:rPr>
      </w:pPr>
    </w:p>
    <w:p w14:paraId="1869D34D" w14:textId="418AEBF2" w:rsidR="00973E37" w:rsidRDefault="00373E5D" w:rsidP="000F2312">
      <w:pPr>
        <w:tabs>
          <w:tab w:val="left" w:pos="567"/>
        </w:tabs>
        <w:rPr>
          <w:lang w:eastAsia="en-GB"/>
        </w:rPr>
      </w:pPr>
      <w:r>
        <w:rPr>
          <w:lang w:eastAsia="en-GB"/>
        </w:rPr>
        <w:t>F</w:t>
      </w:r>
      <w:r w:rsidR="00846CED">
        <w:rPr>
          <w:lang w:eastAsia="en-GB"/>
        </w:rPr>
        <w:t xml:space="preserve">igures show a </w:t>
      </w:r>
      <w:r w:rsidR="00C13A37">
        <w:rPr>
          <w:lang w:eastAsia="en-GB"/>
        </w:rPr>
        <w:t>1</w:t>
      </w:r>
      <w:r w:rsidR="00FA12D2">
        <w:rPr>
          <w:lang w:eastAsia="en-GB"/>
        </w:rPr>
        <w:t xml:space="preserve">% </w:t>
      </w:r>
      <w:r w:rsidR="00C13A37">
        <w:rPr>
          <w:lang w:eastAsia="en-GB"/>
        </w:rPr>
        <w:t xml:space="preserve">decrease </w:t>
      </w:r>
      <w:r w:rsidR="00846CED">
        <w:rPr>
          <w:lang w:eastAsia="en-GB"/>
        </w:rPr>
        <w:t xml:space="preserve">in </w:t>
      </w:r>
      <w:r w:rsidR="00130D45">
        <w:rPr>
          <w:lang w:eastAsia="en-GB"/>
        </w:rPr>
        <w:t>full time equivalent</w:t>
      </w:r>
      <w:r w:rsidR="00C13A37">
        <w:rPr>
          <w:lang w:eastAsia="en-GB"/>
        </w:rPr>
        <w:t xml:space="preserve"> </w:t>
      </w:r>
      <w:r w:rsidR="00973E37" w:rsidRPr="00973E37">
        <w:rPr>
          <w:lang w:eastAsia="en-GB"/>
        </w:rPr>
        <w:t>QTV</w:t>
      </w:r>
      <w:r w:rsidR="00973E37">
        <w:rPr>
          <w:lang w:eastAsia="en-GB"/>
        </w:rPr>
        <w:t>I</w:t>
      </w:r>
      <w:r w:rsidR="005E587A">
        <w:rPr>
          <w:lang w:eastAsia="en-GB"/>
        </w:rPr>
        <w:t xml:space="preserve"> </w:t>
      </w:r>
      <w:r w:rsidR="00556EDC">
        <w:rPr>
          <w:lang w:eastAsia="en-GB"/>
        </w:rPr>
        <w:t>from 2019 to 2020.</w:t>
      </w:r>
      <w:r w:rsidR="00E77C2C">
        <w:rPr>
          <w:lang w:eastAsia="en-GB"/>
        </w:rPr>
        <w:t xml:space="preserve"> However</w:t>
      </w:r>
      <w:r w:rsidR="00CF5386">
        <w:rPr>
          <w:lang w:eastAsia="en-GB"/>
        </w:rPr>
        <w:t>,</w:t>
      </w:r>
      <w:r w:rsidR="00E77C2C">
        <w:rPr>
          <w:lang w:eastAsia="en-GB"/>
        </w:rPr>
        <w:t xml:space="preserve"> the </w:t>
      </w:r>
      <w:r w:rsidR="000C0E0D">
        <w:rPr>
          <w:lang w:eastAsia="en-GB"/>
        </w:rPr>
        <w:t>decrease</w:t>
      </w:r>
      <w:r w:rsidR="00E111C2">
        <w:rPr>
          <w:lang w:eastAsia="en-GB"/>
        </w:rPr>
        <w:t xml:space="preserve"> in </w:t>
      </w:r>
      <w:r w:rsidR="00C40F6A">
        <w:rPr>
          <w:lang w:eastAsia="en-GB"/>
        </w:rPr>
        <w:t xml:space="preserve">2020 </w:t>
      </w:r>
      <w:r w:rsidR="00E111C2">
        <w:rPr>
          <w:lang w:eastAsia="en-GB"/>
        </w:rPr>
        <w:t xml:space="preserve">responses means we </w:t>
      </w:r>
      <w:r w:rsidR="00C67C91">
        <w:rPr>
          <w:lang w:eastAsia="en-GB"/>
        </w:rPr>
        <w:t>are unable to</w:t>
      </w:r>
      <w:r w:rsidR="00E111C2">
        <w:rPr>
          <w:lang w:eastAsia="en-GB"/>
        </w:rPr>
        <w:t xml:space="preserve"> </w:t>
      </w:r>
      <w:r w:rsidR="008B75CD">
        <w:rPr>
          <w:lang w:eastAsia="en-GB"/>
        </w:rPr>
        <w:t xml:space="preserve">paint an accurate picture of QTVI </w:t>
      </w:r>
      <w:r w:rsidR="00873193">
        <w:rPr>
          <w:lang w:eastAsia="en-GB"/>
        </w:rPr>
        <w:t>numbers across local authorities.</w:t>
      </w:r>
      <w:r w:rsidR="009675F8">
        <w:rPr>
          <w:lang w:eastAsia="en-GB"/>
        </w:rPr>
        <w:t xml:space="preserve"> </w:t>
      </w:r>
    </w:p>
    <w:p w14:paraId="72074C0F" w14:textId="52F0B1E5" w:rsidR="006B6B24" w:rsidRDefault="006B6B24" w:rsidP="000F2312">
      <w:pPr>
        <w:tabs>
          <w:tab w:val="left" w:pos="567"/>
        </w:tabs>
        <w:rPr>
          <w:lang w:eastAsia="en-GB"/>
        </w:rPr>
      </w:pPr>
    </w:p>
    <w:p w14:paraId="76E57AE0" w14:textId="235C3261" w:rsidR="006B6B24" w:rsidRPr="00973E37" w:rsidRDefault="006B6B24" w:rsidP="000F2312">
      <w:pPr>
        <w:tabs>
          <w:tab w:val="left" w:pos="567"/>
        </w:tabs>
        <w:rPr>
          <w:lang w:eastAsia="en-GB"/>
        </w:rPr>
      </w:pPr>
      <w:r>
        <w:rPr>
          <w:lang w:eastAsia="en-GB"/>
        </w:rPr>
        <w:t xml:space="preserve">If we look at regional </w:t>
      </w:r>
      <w:r w:rsidR="00614B4A">
        <w:rPr>
          <w:lang w:eastAsia="en-GB"/>
        </w:rPr>
        <w:t>trends,</w:t>
      </w:r>
      <w:r>
        <w:rPr>
          <w:lang w:eastAsia="en-GB"/>
        </w:rPr>
        <w:t xml:space="preserve"> </w:t>
      </w:r>
      <w:r w:rsidR="002F6B71">
        <w:rPr>
          <w:lang w:eastAsia="en-GB"/>
        </w:rPr>
        <w:t>we can see</w:t>
      </w:r>
      <w:r w:rsidR="00C95442">
        <w:rPr>
          <w:lang w:eastAsia="en-GB"/>
        </w:rPr>
        <w:t xml:space="preserve"> that</w:t>
      </w:r>
      <w:r w:rsidR="002F6B71">
        <w:rPr>
          <w:lang w:eastAsia="en-GB"/>
        </w:rPr>
        <w:t xml:space="preserve"> the </w:t>
      </w:r>
      <w:r w:rsidR="00E97A6E">
        <w:rPr>
          <w:lang w:eastAsia="en-GB"/>
        </w:rPr>
        <w:t xml:space="preserve">South East have the </w:t>
      </w:r>
      <w:r w:rsidR="00614B4A">
        <w:rPr>
          <w:lang w:eastAsia="en-GB"/>
        </w:rPr>
        <w:t xml:space="preserve">overall highest number of QTVI’s </w:t>
      </w:r>
      <w:r w:rsidR="00B41008">
        <w:rPr>
          <w:lang w:eastAsia="en-GB"/>
        </w:rPr>
        <w:t>(120</w:t>
      </w:r>
      <w:r w:rsidR="00241E70">
        <w:rPr>
          <w:lang w:eastAsia="en-GB"/>
        </w:rPr>
        <w:t xml:space="preserve"> FTE QTVI</w:t>
      </w:r>
      <w:r w:rsidR="00B41008">
        <w:rPr>
          <w:lang w:eastAsia="en-GB"/>
        </w:rPr>
        <w:t xml:space="preserve">) </w:t>
      </w:r>
      <w:r w:rsidR="00614B4A">
        <w:rPr>
          <w:lang w:eastAsia="en-GB"/>
        </w:rPr>
        <w:t>amongst their LA’s</w:t>
      </w:r>
      <w:r w:rsidR="00064EE1">
        <w:rPr>
          <w:lang w:eastAsia="en-GB"/>
        </w:rPr>
        <w:t>,</w:t>
      </w:r>
      <w:r w:rsidR="00C95442">
        <w:rPr>
          <w:lang w:eastAsia="en-GB"/>
        </w:rPr>
        <w:t xml:space="preserve"> especially since</w:t>
      </w:r>
      <w:r w:rsidR="005B111B">
        <w:rPr>
          <w:lang w:eastAsia="en-GB"/>
        </w:rPr>
        <w:t xml:space="preserve"> LA’s </w:t>
      </w:r>
      <w:r w:rsidR="00360334">
        <w:rPr>
          <w:lang w:eastAsia="en-GB"/>
        </w:rPr>
        <w:t xml:space="preserve">in this region </w:t>
      </w:r>
      <w:r w:rsidR="00C95442">
        <w:rPr>
          <w:lang w:eastAsia="en-GB"/>
        </w:rPr>
        <w:t xml:space="preserve">make up just 15% of </w:t>
      </w:r>
      <w:r w:rsidR="00360334">
        <w:rPr>
          <w:lang w:eastAsia="en-GB"/>
        </w:rPr>
        <w:t>the tota</w:t>
      </w:r>
      <w:r w:rsidR="00241E70">
        <w:rPr>
          <w:lang w:eastAsia="en-GB"/>
        </w:rPr>
        <w:t>l</w:t>
      </w:r>
      <w:r w:rsidR="00614B4A">
        <w:rPr>
          <w:lang w:eastAsia="en-GB"/>
        </w:rPr>
        <w:t>.</w:t>
      </w:r>
      <w:r w:rsidR="007D2635">
        <w:rPr>
          <w:lang w:eastAsia="en-GB"/>
        </w:rPr>
        <w:t xml:space="preserve"> </w:t>
      </w:r>
      <w:r w:rsidR="0044126F">
        <w:rPr>
          <w:lang w:eastAsia="en-GB"/>
        </w:rPr>
        <w:t xml:space="preserve">They </w:t>
      </w:r>
      <w:r w:rsidR="0044126F">
        <w:rPr>
          <w:lang w:eastAsia="en-GB"/>
        </w:rPr>
        <w:lastRenderedPageBreak/>
        <w:t xml:space="preserve">are followed closely by the North West </w:t>
      </w:r>
      <w:r w:rsidR="00C07030">
        <w:rPr>
          <w:lang w:eastAsia="en-GB"/>
        </w:rPr>
        <w:t>(72</w:t>
      </w:r>
      <w:r w:rsidR="007D2635">
        <w:rPr>
          <w:lang w:eastAsia="en-GB"/>
        </w:rPr>
        <w:t>.6</w:t>
      </w:r>
      <w:r w:rsidR="00C07030">
        <w:rPr>
          <w:lang w:eastAsia="en-GB"/>
        </w:rPr>
        <w:t xml:space="preserve">) </w:t>
      </w:r>
      <w:r w:rsidR="0044126F">
        <w:rPr>
          <w:lang w:eastAsia="en-GB"/>
        </w:rPr>
        <w:t>then London</w:t>
      </w:r>
      <w:r w:rsidR="00C07030">
        <w:rPr>
          <w:lang w:eastAsia="en-GB"/>
        </w:rPr>
        <w:t xml:space="preserve"> (</w:t>
      </w:r>
      <w:r w:rsidR="007D2635">
        <w:rPr>
          <w:lang w:eastAsia="en-GB"/>
        </w:rPr>
        <w:t>57.7)</w:t>
      </w:r>
      <w:r w:rsidR="0044126F">
        <w:rPr>
          <w:lang w:eastAsia="en-GB"/>
        </w:rPr>
        <w:t xml:space="preserve">. </w:t>
      </w:r>
      <w:r w:rsidR="00EA3658">
        <w:rPr>
          <w:lang w:eastAsia="en-GB"/>
        </w:rPr>
        <w:t xml:space="preserve">The North East </w:t>
      </w:r>
      <w:r w:rsidR="001966C3">
        <w:rPr>
          <w:lang w:eastAsia="en-GB"/>
        </w:rPr>
        <w:t xml:space="preserve">region </w:t>
      </w:r>
      <w:r w:rsidR="00B523C8">
        <w:rPr>
          <w:lang w:eastAsia="en-GB"/>
        </w:rPr>
        <w:t xml:space="preserve">has </w:t>
      </w:r>
      <w:r w:rsidR="0034110D">
        <w:rPr>
          <w:lang w:eastAsia="en-GB"/>
        </w:rPr>
        <w:t>just 11 FTE QTVI’s</w:t>
      </w:r>
      <w:r w:rsidR="001966C3">
        <w:rPr>
          <w:lang w:eastAsia="en-GB"/>
        </w:rPr>
        <w:t xml:space="preserve">. </w:t>
      </w:r>
    </w:p>
    <w:p w14:paraId="0184160D" w14:textId="77777777" w:rsidR="000F2312" w:rsidRDefault="000F2312" w:rsidP="000F2312">
      <w:pPr>
        <w:tabs>
          <w:tab w:val="left" w:pos="567"/>
        </w:tabs>
        <w:rPr>
          <w:color w:val="FF0000"/>
          <w:lang w:eastAsia="en-GB"/>
        </w:rPr>
      </w:pPr>
    </w:p>
    <w:p w14:paraId="3466E753" w14:textId="77777777" w:rsidR="000F2312" w:rsidRPr="009A4405" w:rsidRDefault="000F2312" w:rsidP="000F2312">
      <w:pPr>
        <w:keepNext/>
        <w:spacing w:after="100"/>
        <w:outlineLvl w:val="2"/>
        <w:rPr>
          <w:b/>
          <w:sz w:val="32"/>
          <w:lang w:eastAsia="en-GB"/>
        </w:rPr>
      </w:pPr>
      <w:r w:rsidRPr="009A4405">
        <w:rPr>
          <w:b/>
          <w:sz w:val="32"/>
          <w:lang w:eastAsia="en-GB"/>
        </w:rPr>
        <w:t>Teaching assistants</w:t>
      </w:r>
    </w:p>
    <w:p w14:paraId="5FEE0CA9" w14:textId="1F8859E7" w:rsidR="00281563" w:rsidRDefault="000F2312" w:rsidP="000F2312">
      <w:pPr>
        <w:rPr>
          <w:lang w:eastAsia="en-GB"/>
        </w:rPr>
      </w:pPr>
      <w:r w:rsidRPr="009A4405">
        <w:rPr>
          <w:lang w:eastAsia="en-GB"/>
        </w:rPr>
        <w:t>The total number of TA posts (headcount of both full-time and part-time) across 1</w:t>
      </w:r>
      <w:r w:rsidR="009960D4">
        <w:rPr>
          <w:lang w:eastAsia="en-GB"/>
        </w:rPr>
        <w:t>29</w:t>
      </w:r>
      <w:r w:rsidRPr="009A4405">
        <w:rPr>
          <w:lang w:eastAsia="en-GB"/>
        </w:rPr>
        <w:t xml:space="preserve"> local authorities is </w:t>
      </w:r>
      <w:r w:rsidR="006105BF">
        <w:rPr>
          <w:lang w:eastAsia="en-GB"/>
        </w:rPr>
        <w:t>694</w:t>
      </w:r>
      <w:r w:rsidR="00F52A2A">
        <w:rPr>
          <w:lang w:eastAsia="en-GB"/>
        </w:rPr>
        <w:t xml:space="preserve">. </w:t>
      </w:r>
      <w:r w:rsidR="00600CEB">
        <w:rPr>
          <w:lang w:eastAsia="en-GB"/>
        </w:rPr>
        <w:t>H</w:t>
      </w:r>
      <w:r w:rsidR="009F4185">
        <w:rPr>
          <w:lang w:eastAsia="en-GB"/>
        </w:rPr>
        <w:t>owever</w:t>
      </w:r>
      <w:r w:rsidR="000F54AF">
        <w:rPr>
          <w:lang w:eastAsia="en-GB"/>
        </w:rPr>
        <w:t>,</w:t>
      </w:r>
      <w:r w:rsidR="009F4185">
        <w:rPr>
          <w:lang w:eastAsia="en-GB"/>
        </w:rPr>
        <w:t xml:space="preserve"> this figure is likely to be </w:t>
      </w:r>
      <w:r w:rsidR="00CB14C3">
        <w:rPr>
          <w:lang w:eastAsia="en-GB"/>
        </w:rPr>
        <w:t>higher</w:t>
      </w:r>
      <w:r w:rsidR="009F4185">
        <w:rPr>
          <w:lang w:eastAsia="en-GB"/>
        </w:rPr>
        <w:t xml:space="preserve"> </w:t>
      </w:r>
      <w:r w:rsidR="008315B3">
        <w:rPr>
          <w:lang w:eastAsia="en-GB"/>
        </w:rPr>
        <w:t xml:space="preserve">as </w:t>
      </w:r>
      <w:r w:rsidR="00916E14">
        <w:rPr>
          <w:lang w:eastAsia="en-GB"/>
        </w:rPr>
        <w:t xml:space="preserve">most </w:t>
      </w:r>
      <w:r w:rsidR="00315F97">
        <w:rPr>
          <w:lang w:eastAsia="en-GB"/>
        </w:rPr>
        <w:t xml:space="preserve">TAs are </w:t>
      </w:r>
      <w:r w:rsidR="00CB14C3">
        <w:rPr>
          <w:lang w:eastAsia="en-GB"/>
        </w:rPr>
        <w:t>employed directly</w:t>
      </w:r>
      <w:r w:rsidR="00DB17E4">
        <w:rPr>
          <w:lang w:eastAsia="en-GB"/>
        </w:rPr>
        <w:t xml:space="preserve"> by schools</w:t>
      </w:r>
      <w:r w:rsidR="00600CEB">
        <w:rPr>
          <w:lang w:eastAsia="en-GB"/>
        </w:rPr>
        <w:t xml:space="preserve"> as oppose</w:t>
      </w:r>
      <w:r w:rsidR="00143E43">
        <w:rPr>
          <w:lang w:eastAsia="en-GB"/>
        </w:rPr>
        <w:t>d</w:t>
      </w:r>
      <w:r w:rsidR="00600CEB">
        <w:rPr>
          <w:lang w:eastAsia="en-GB"/>
        </w:rPr>
        <w:t xml:space="preserve"> to sensory services.</w:t>
      </w:r>
      <w:r w:rsidR="00951EF5">
        <w:rPr>
          <w:lang w:eastAsia="en-GB"/>
        </w:rPr>
        <w:t xml:space="preserve"> </w:t>
      </w:r>
    </w:p>
    <w:p w14:paraId="3EB613E5" w14:textId="77777777" w:rsidR="005A0DAF" w:rsidRPr="0080233C" w:rsidRDefault="005A0DAF" w:rsidP="000F2312">
      <w:pPr>
        <w:rPr>
          <w:highlight w:val="yellow"/>
          <w:lang w:eastAsia="en-GB"/>
        </w:rPr>
      </w:pPr>
    </w:p>
    <w:p w14:paraId="09CE985B" w14:textId="04E878DE" w:rsidR="000F2312" w:rsidRDefault="000F2312" w:rsidP="000F2312">
      <w:pPr>
        <w:rPr>
          <w:lang w:eastAsia="en-GB"/>
        </w:rPr>
      </w:pPr>
      <w:r w:rsidRPr="005371C3">
        <w:rPr>
          <w:lang w:eastAsia="en-GB"/>
        </w:rPr>
        <w:t>Of the 1</w:t>
      </w:r>
      <w:r w:rsidR="005371C3" w:rsidRPr="005371C3">
        <w:rPr>
          <w:lang w:eastAsia="en-GB"/>
        </w:rPr>
        <w:t>29</w:t>
      </w:r>
      <w:r w:rsidRPr="005371C3">
        <w:rPr>
          <w:lang w:eastAsia="en-GB"/>
        </w:rPr>
        <w:t xml:space="preserve"> local authorities</w:t>
      </w:r>
      <w:r w:rsidRPr="005D0808">
        <w:rPr>
          <w:lang w:eastAsia="en-GB"/>
        </w:rPr>
        <w:t xml:space="preserve">, </w:t>
      </w:r>
      <w:r w:rsidR="005D0808" w:rsidRPr="005D0808">
        <w:rPr>
          <w:lang w:eastAsia="en-GB"/>
        </w:rPr>
        <w:t>55</w:t>
      </w:r>
      <w:r w:rsidRPr="005D0808">
        <w:rPr>
          <w:lang w:eastAsia="en-GB"/>
        </w:rPr>
        <w:t xml:space="preserve">% recorded a decrease in the number of TA posts over the </w:t>
      </w:r>
      <w:r w:rsidR="003254E0" w:rsidRPr="005D0808">
        <w:rPr>
          <w:lang w:eastAsia="en-GB"/>
        </w:rPr>
        <w:t>last year</w:t>
      </w:r>
      <w:r w:rsidR="001731B1">
        <w:rPr>
          <w:lang w:eastAsia="en-GB"/>
        </w:rPr>
        <w:t xml:space="preserve">, this is an </w:t>
      </w:r>
      <w:r w:rsidR="00FD3B4D">
        <w:rPr>
          <w:lang w:eastAsia="en-GB"/>
        </w:rPr>
        <w:t>increase from</w:t>
      </w:r>
      <w:r w:rsidR="009C4C59">
        <w:rPr>
          <w:lang w:eastAsia="en-GB"/>
        </w:rPr>
        <w:t xml:space="preserve"> 30% in 2017</w:t>
      </w:r>
      <w:r w:rsidRPr="005D0808">
        <w:rPr>
          <w:lang w:eastAsia="en-GB"/>
        </w:rPr>
        <w:t xml:space="preserve">. </w:t>
      </w:r>
      <w:r w:rsidR="005D0808" w:rsidRPr="005D0808">
        <w:rPr>
          <w:lang w:eastAsia="en-GB"/>
        </w:rPr>
        <w:t>Only 16</w:t>
      </w:r>
      <w:r w:rsidRPr="005D0808">
        <w:rPr>
          <w:lang w:eastAsia="en-GB"/>
        </w:rPr>
        <w:t xml:space="preserve">% recorded an increase in the number of TA posts, while </w:t>
      </w:r>
      <w:r w:rsidR="005D0808" w:rsidRPr="005D0808">
        <w:rPr>
          <w:lang w:eastAsia="en-GB"/>
        </w:rPr>
        <w:t>30</w:t>
      </w:r>
      <w:r w:rsidRPr="005D0808">
        <w:rPr>
          <w:lang w:eastAsia="en-GB"/>
        </w:rPr>
        <w:t>% recorded no change.</w:t>
      </w:r>
      <w:r w:rsidR="00774017">
        <w:rPr>
          <w:lang w:eastAsia="en-GB"/>
        </w:rPr>
        <w:t xml:space="preserve"> </w:t>
      </w:r>
    </w:p>
    <w:p w14:paraId="13A2C50F" w14:textId="6C7C1A73" w:rsidR="00683D4B" w:rsidRDefault="00683D4B" w:rsidP="000F2312">
      <w:pPr>
        <w:rPr>
          <w:lang w:eastAsia="en-GB"/>
        </w:rPr>
      </w:pPr>
    </w:p>
    <w:p w14:paraId="7BF8658E" w14:textId="14D25623" w:rsidR="000F2312" w:rsidRPr="00761064" w:rsidRDefault="00977414" w:rsidP="000F2312">
      <w:pPr>
        <w:rPr>
          <w:lang w:eastAsia="en-GB"/>
        </w:rPr>
      </w:pPr>
      <w:r>
        <w:rPr>
          <w:lang w:eastAsia="en-GB"/>
        </w:rPr>
        <w:t>However, w</w:t>
      </w:r>
      <w:r w:rsidR="00761064">
        <w:rPr>
          <w:lang w:eastAsia="en-GB"/>
        </w:rPr>
        <w:t>e are</w:t>
      </w:r>
      <w:r>
        <w:rPr>
          <w:lang w:eastAsia="en-GB"/>
        </w:rPr>
        <w:t xml:space="preserve"> currently</w:t>
      </w:r>
      <w:r w:rsidR="00761064">
        <w:rPr>
          <w:lang w:eastAsia="en-GB"/>
        </w:rPr>
        <w:t xml:space="preserve"> unable to accurately report on the n</w:t>
      </w:r>
      <w:r w:rsidR="005F4F51">
        <w:rPr>
          <w:lang w:eastAsia="en-GB"/>
        </w:rPr>
        <w:t>umber</w:t>
      </w:r>
      <w:r w:rsidR="00761064">
        <w:rPr>
          <w:lang w:eastAsia="en-GB"/>
        </w:rPr>
        <w:t xml:space="preserve"> of TA</w:t>
      </w:r>
      <w:r w:rsidR="005F4F51">
        <w:rPr>
          <w:lang w:eastAsia="en-GB"/>
        </w:rPr>
        <w:t>’s</w:t>
      </w:r>
      <w:r w:rsidR="00761064">
        <w:rPr>
          <w:lang w:eastAsia="en-GB"/>
        </w:rPr>
        <w:t xml:space="preserve"> supporting children with </w:t>
      </w:r>
      <w:r w:rsidR="005F4F51">
        <w:rPr>
          <w:lang w:eastAsia="en-GB"/>
        </w:rPr>
        <w:t>vision impairment</w:t>
      </w:r>
      <w:r>
        <w:rPr>
          <w:lang w:eastAsia="en-GB"/>
        </w:rPr>
        <w:t>. This is</w:t>
      </w:r>
      <w:r w:rsidR="00823DE5">
        <w:rPr>
          <w:lang w:eastAsia="en-GB"/>
        </w:rPr>
        <w:t xml:space="preserve"> because </w:t>
      </w:r>
      <w:r w:rsidR="00761064">
        <w:rPr>
          <w:lang w:eastAsia="en-GB"/>
        </w:rPr>
        <w:t xml:space="preserve">TAs may not be known to the services as we have </w:t>
      </w:r>
      <w:r w:rsidR="00AD03BE">
        <w:rPr>
          <w:lang w:eastAsia="en-GB"/>
        </w:rPr>
        <w:t>had</w:t>
      </w:r>
      <w:r w:rsidR="00761064">
        <w:rPr>
          <w:lang w:eastAsia="en-GB"/>
        </w:rPr>
        <w:t xml:space="preserve"> a poor response to this question in recent years. </w:t>
      </w:r>
      <w:r w:rsidR="000F2312" w:rsidRPr="00AB4FD3">
        <w:rPr>
          <w:lang w:eastAsia="en-GB"/>
        </w:rPr>
        <w:t xml:space="preserve">In fact, in 2015 a similar survey of local authorities found over 2,700 TAs employed that the vision impairment education services were aware of. </w:t>
      </w:r>
      <w:r w:rsidR="00D51E53">
        <w:rPr>
          <w:lang w:eastAsia="en-GB"/>
        </w:rPr>
        <w:t xml:space="preserve">TAs tend to be employed directly by schools and </w:t>
      </w:r>
      <w:r w:rsidR="00F35B2D">
        <w:rPr>
          <w:lang w:eastAsia="en-GB"/>
        </w:rPr>
        <w:t xml:space="preserve">gathering an accurate picture of </w:t>
      </w:r>
      <w:r w:rsidR="00B358FC">
        <w:rPr>
          <w:lang w:eastAsia="en-GB"/>
        </w:rPr>
        <w:t>the TA workforce across the country would be very difficult.</w:t>
      </w:r>
    </w:p>
    <w:p w14:paraId="75BEAF30" w14:textId="63191EE2" w:rsidR="000F2312" w:rsidRDefault="000F2312" w:rsidP="000F2312">
      <w:pPr>
        <w:rPr>
          <w:b/>
          <w:lang w:eastAsia="en-GB"/>
        </w:rPr>
      </w:pPr>
    </w:p>
    <w:p w14:paraId="28A77BE7" w14:textId="542B3063" w:rsidR="005654CE" w:rsidRDefault="00B44CF5" w:rsidP="005654CE">
      <w:pPr>
        <w:pStyle w:val="Heading2"/>
      </w:pPr>
      <w:bookmarkStart w:id="25" w:name="_Toc63761384"/>
      <w:bookmarkStart w:id="26" w:name="_Toc63761424"/>
      <w:r>
        <w:t>5</w:t>
      </w:r>
      <w:r w:rsidR="005654CE" w:rsidRPr="00375F76">
        <w:t xml:space="preserve"> </w:t>
      </w:r>
      <w:r w:rsidR="005654CE">
        <w:t>Conclusion</w:t>
      </w:r>
      <w:bookmarkEnd w:id="25"/>
      <w:bookmarkEnd w:id="26"/>
    </w:p>
    <w:p w14:paraId="558947A5" w14:textId="6C0FE4D2" w:rsidR="00770B28" w:rsidRDefault="00571E79" w:rsidP="00571E79">
      <w:pPr>
        <w:pStyle w:val="ListBullet"/>
        <w:numPr>
          <w:ilvl w:val="0"/>
          <w:numId w:val="0"/>
        </w:numPr>
        <w:rPr>
          <w:rFonts w:cs="Arial"/>
          <w:color w:val="000000"/>
          <w:szCs w:val="28"/>
          <w:shd w:val="clear" w:color="auto" w:fill="FFFFFF"/>
        </w:rPr>
      </w:pPr>
      <w:r>
        <w:rPr>
          <w:rFonts w:cs="Arial"/>
          <w:color w:val="000000"/>
          <w:szCs w:val="28"/>
          <w:shd w:val="clear" w:color="auto" w:fill="FFFFFF"/>
        </w:rPr>
        <w:t>C</w:t>
      </w:r>
      <w:r w:rsidRPr="00493E77">
        <w:rPr>
          <w:rFonts w:cs="Arial"/>
          <w:color w:val="000000"/>
          <w:szCs w:val="28"/>
          <w:shd w:val="clear" w:color="auto" w:fill="FFFFFF"/>
        </w:rPr>
        <w:t>hildren and young people with VI require a high level of specialist provision to learn on equal terms with sighted children. Having the right support in place can remove the barriers to learning and enable them to develop the specialist skills they need to succeed not just at school but as adults with full lives</w:t>
      </w:r>
      <w:r w:rsidR="00BA4C3D">
        <w:rPr>
          <w:rFonts w:cs="Arial"/>
          <w:color w:val="000000"/>
          <w:szCs w:val="28"/>
          <w:shd w:val="clear" w:color="auto" w:fill="FFFFFF"/>
        </w:rPr>
        <w:t>.</w:t>
      </w:r>
      <w:r w:rsidR="0003298A">
        <w:rPr>
          <w:rFonts w:cs="Arial"/>
          <w:color w:val="000000"/>
          <w:szCs w:val="28"/>
          <w:shd w:val="clear" w:color="auto" w:fill="FFFFFF"/>
        </w:rPr>
        <w:t xml:space="preserve"> </w:t>
      </w:r>
      <w:r w:rsidR="00404976">
        <w:rPr>
          <w:rFonts w:cs="Arial"/>
          <w:color w:val="000000"/>
          <w:szCs w:val="28"/>
          <w:shd w:val="clear" w:color="auto" w:fill="FFFFFF"/>
        </w:rPr>
        <w:t>F</w:t>
      </w:r>
      <w:r w:rsidR="00BA4C3D">
        <w:rPr>
          <w:rFonts w:cs="Arial"/>
          <w:color w:val="000000"/>
          <w:szCs w:val="28"/>
          <w:shd w:val="clear" w:color="auto" w:fill="FFFFFF"/>
        </w:rPr>
        <w:t>indings</w:t>
      </w:r>
      <w:r w:rsidR="00220078">
        <w:rPr>
          <w:rFonts w:cs="Arial"/>
          <w:color w:val="000000"/>
          <w:szCs w:val="28"/>
          <w:shd w:val="clear" w:color="auto" w:fill="FFFFFF"/>
        </w:rPr>
        <w:t xml:space="preserve"> </w:t>
      </w:r>
      <w:r w:rsidR="00C37927">
        <w:rPr>
          <w:rFonts w:cs="Arial"/>
          <w:color w:val="000000"/>
          <w:szCs w:val="28"/>
          <w:shd w:val="clear" w:color="auto" w:fill="FFFFFF"/>
        </w:rPr>
        <w:t xml:space="preserve">continue to </w:t>
      </w:r>
      <w:r w:rsidR="00220078">
        <w:rPr>
          <w:rFonts w:cs="Arial"/>
          <w:color w:val="000000"/>
          <w:szCs w:val="28"/>
          <w:shd w:val="clear" w:color="auto" w:fill="FFFFFF"/>
        </w:rPr>
        <w:t>show</w:t>
      </w:r>
      <w:r w:rsidR="001C42FE">
        <w:rPr>
          <w:rFonts w:cs="Arial"/>
          <w:color w:val="000000"/>
          <w:szCs w:val="28"/>
          <w:shd w:val="clear" w:color="auto" w:fill="FFFFFF"/>
        </w:rPr>
        <w:t xml:space="preserve"> </w:t>
      </w:r>
      <w:r w:rsidR="0061736B">
        <w:rPr>
          <w:rFonts w:cs="Arial"/>
          <w:color w:val="000000"/>
          <w:szCs w:val="28"/>
          <w:shd w:val="clear" w:color="auto" w:fill="FFFFFF"/>
        </w:rPr>
        <w:t xml:space="preserve">a </w:t>
      </w:r>
      <w:r w:rsidR="00FB0E62">
        <w:rPr>
          <w:rFonts w:cs="Arial"/>
          <w:color w:val="000000"/>
          <w:szCs w:val="28"/>
          <w:shd w:val="clear" w:color="auto" w:fill="FFFFFF"/>
        </w:rPr>
        <w:t xml:space="preserve">steady </w:t>
      </w:r>
      <w:r w:rsidR="00D868DB">
        <w:rPr>
          <w:rFonts w:cs="Arial"/>
          <w:color w:val="000000"/>
          <w:szCs w:val="28"/>
          <w:shd w:val="clear" w:color="auto" w:fill="FFFFFF"/>
        </w:rPr>
        <w:t>change</w:t>
      </w:r>
      <w:r w:rsidR="00220078">
        <w:rPr>
          <w:rFonts w:cs="Arial"/>
          <w:color w:val="000000"/>
          <w:szCs w:val="28"/>
          <w:shd w:val="clear" w:color="auto" w:fill="FFFFFF"/>
        </w:rPr>
        <w:t xml:space="preserve"> in specialist provision</w:t>
      </w:r>
      <w:r w:rsidR="00404976">
        <w:rPr>
          <w:rFonts w:cs="Arial"/>
          <w:color w:val="000000"/>
          <w:szCs w:val="28"/>
          <w:shd w:val="clear" w:color="auto" w:fill="FFFFFF"/>
        </w:rPr>
        <w:t xml:space="preserve"> over the last three years</w:t>
      </w:r>
      <w:r w:rsidR="006E4DF6">
        <w:rPr>
          <w:rFonts w:cs="Arial"/>
          <w:color w:val="000000"/>
          <w:szCs w:val="28"/>
          <w:shd w:val="clear" w:color="auto" w:fill="FFFFFF"/>
        </w:rPr>
        <w:t xml:space="preserve">, whether this </w:t>
      </w:r>
      <w:r w:rsidR="00F974FF">
        <w:rPr>
          <w:rFonts w:cs="Arial"/>
          <w:color w:val="000000"/>
          <w:szCs w:val="28"/>
          <w:shd w:val="clear" w:color="auto" w:fill="FFFFFF"/>
        </w:rPr>
        <w:t xml:space="preserve">year’s changes are </w:t>
      </w:r>
      <w:r w:rsidR="006E4DF6">
        <w:rPr>
          <w:rFonts w:cs="Arial"/>
          <w:color w:val="000000"/>
          <w:szCs w:val="28"/>
          <w:shd w:val="clear" w:color="auto" w:fill="FFFFFF"/>
        </w:rPr>
        <w:t xml:space="preserve">due to Coronavirus or not is still unclear. </w:t>
      </w:r>
    </w:p>
    <w:p w14:paraId="1A928709" w14:textId="33B8D9D3" w:rsidR="009A3112" w:rsidRDefault="00220078" w:rsidP="00571E79">
      <w:pPr>
        <w:pStyle w:val="ListBullet"/>
        <w:numPr>
          <w:ilvl w:val="0"/>
          <w:numId w:val="0"/>
        </w:numPr>
        <w:rPr>
          <w:rFonts w:cs="Arial"/>
          <w:color w:val="000000"/>
          <w:szCs w:val="28"/>
          <w:shd w:val="clear" w:color="auto" w:fill="FFFFFF"/>
        </w:rPr>
      </w:pPr>
      <w:r>
        <w:rPr>
          <w:rFonts w:cs="Arial"/>
          <w:color w:val="000000"/>
          <w:szCs w:val="28"/>
          <w:shd w:val="clear" w:color="auto" w:fill="FFFFFF"/>
        </w:rPr>
        <w:t xml:space="preserve"> </w:t>
      </w:r>
    </w:p>
    <w:p w14:paraId="655371D2" w14:textId="7EDD2EC3" w:rsidR="00431BE2" w:rsidRDefault="00C01B9B" w:rsidP="0010530A">
      <w:pPr>
        <w:pStyle w:val="ListBullet"/>
        <w:numPr>
          <w:ilvl w:val="0"/>
          <w:numId w:val="0"/>
        </w:numPr>
      </w:pPr>
      <w:r>
        <w:t>The number of</w:t>
      </w:r>
      <w:r w:rsidR="00DD6D42">
        <w:t xml:space="preserve"> </w:t>
      </w:r>
      <w:r w:rsidR="009D26C5">
        <w:t xml:space="preserve">children and young people </w:t>
      </w:r>
      <w:r w:rsidR="000C0E3A">
        <w:t>accessing</w:t>
      </w:r>
      <w:r w:rsidR="00CC706C">
        <w:t xml:space="preserve"> specialist </w:t>
      </w:r>
      <w:r w:rsidR="00D67BF4">
        <w:t>provisions</w:t>
      </w:r>
      <w:r w:rsidR="00E11325">
        <w:t xml:space="preserve"> </w:t>
      </w:r>
      <w:r w:rsidR="005721CB">
        <w:t>over the last three years</w:t>
      </w:r>
      <w:r w:rsidR="00667C5B">
        <w:t xml:space="preserve"> has</w:t>
      </w:r>
      <w:r w:rsidR="00303038">
        <w:t xml:space="preserve"> </w:t>
      </w:r>
      <w:r w:rsidR="00667C5B">
        <w:t>increas</w:t>
      </w:r>
      <w:r w:rsidR="00303038">
        <w:t>ed</w:t>
      </w:r>
      <w:r w:rsidR="00635974">
        <w:t>,</w:t>
      </w:r>
      <w:r w:rsidR="00303038">
        <w:t xml:space="preserve"> along with the </w:t>
      </w:r>
      <w:r w:rsidR="00635974">
        <w:t>number of full time equiva</w:t>
      </w:r>
      <w:r w:rsidR="00A918AE">
        <w:t>lent QTVI’s.</w:t>
      </w:r>
      <w:r w:rsidR="004558D3">
        <w:t xml:space="preserve"> </w:t>
      </w:r>
      <w:r w:rsidR="006E7BD0">
        <w:t>This is in line with o</w:t>
      </w:r>
      <w:r w:rsidR="00ED1179">
        <w:t>ver hal</w:t>
      </w:r>
      <w:r w:rsidR="00DC515F">
        <w:t>f of local authorities</w:t>
      </w:r>
      <w:r w:rsidR="002C6952">
        <w:t xml:space="preserve"> report</w:t>
      </w:r>
      <w:r w:rsidR="00BF4FCC">
        <w:t>ing</w:t>
      </w:r>
      <w:r w:rsidR="002C6952">
        <w:t xml:space="preserve"> an increase in budget</w:t>
      </w:r>
      <w:r w:rsidR="006F3850">
        <w:t>s</w:t>
      </w:r>
      <w:r w:rsidR="004C6196">
        <w:t xml:space="preserve"> </w:t>
      </w:r>
      <w:r w:rsidR="004558D3">
        <w:t>across VI services</w:t>
      </w:r>
      <w:r w:rsidR="00AF59F8">
        <w:t>.</w:t>
      </w:r>
      <w:r w:rsidR="009D2BCE">
        <w:t xml:space="preserve"> </w:t>
      </w:r>
      <w:r w:rsidR="00D140E1">
        <w:t>However</w:t>
      </w:r>
      <w:r w:rsidR="00EE0C49">
        <w:t xml:space="preserve">, the </w:t>
      </w:r>
      <w:r w:rsidR="00521A04">
        <w:t xml:space="preserve">lack of responses this year suggests that </w:t>
      </w:r>
      <w:r w:rsidR="00EE0C49">
        <w:t>t</w:t>
      </w:r>
      <w:r w:rsidR="006A55CC">
        <w:t>h</w:t>
      </w:r>
      <w:r w:rsidR="009D2BCE">
        <w:t>e above</w:t>
      </w:r>
      <w:r w:rsidR="00635974">
        <w:t xml:space="preserve"> </w:t>
      </w:r>
      <w:r w:rsidR="00521A04">
        <w:t>figure</w:t>
      </w:r>
      <w:r w:rsidR="009D2BCE">
        <w:t xml:space="preserve">s </w:t>
      </w:r>
      <w:r w:rsidR="00521A04">
        <w:t xml:space="preserve">could in fact be </w:t>
      </w:r>
      <w:r w:rsidR="0045188D">
        <w:t>quite different</w:t>
      </w:r>
      <w:r w:rsidR="00D233DF">
        <w:t>.</w:t>
      </w:r>
      <w:r w:rsidR="008A439B">
        <w:t xml:space="preserve"> </w:t>
      </w:r>
      <w:r w:rsidR="00904F4C">
        <w:t xml:space="preserve">There may be further cuts in the </w:t>
      </w:r>
      <w:r w:rsidR="005B18C1">
        <w:t>pipeline with n</w:t>
      </w:r>
      <w:r w:rsidR="00F37B19">
        <w:t xml:space="preserve">early a quarter of </w:t>
      </w:r>
      <w:r w:rsidR="00A85EAE" w:rsidRPr="00CD40D2">
        <w:t>local authoritie</w:t>
      </w:r>
      <w:r w:rsidR="007A48AD">
        <w:t xml:space="preserve">s </w:t>
      </w:r>
      <w:r w:rsidR="005B18C1">
        <w:t xml:space="preserve">reporting </w:t>
      </w:r>
      <w:r w:rsidR="00A85EAE" w:rsidRPr="00CD40D2">
        <w:t xml:space="preserve">current or proposed reviews </w:t>
      </w:r>
      <w:r w:rsidR="00A95D32">
        <w:t>of the VI service</w:t>
      </w:r>
      <w:r w:rsidR="00EF2608">
        <w:t>. One has to consider if</w:t>
      </w:r>
      <w:r w:rsidR="008A439B">
        <w:t xml:space="preserve"> </w:t>
      </w:r>
      <w:r w:rsidR="00AC213A">
        <w:t>the current econo</w:t>
      </w:r>
      <w:r w:rsidR="002538FD">
        <w:t>mic climate</w:t>
      </w:r>
      <w:r w:rsidR="00EF2608">
        <w:t xml:space="preserve"> </w:t>
      </w:r>
      <w:r w:rsidR="00BB7FE9">
        <w:t xml:space="preserve">will </w:t>
      </w:r>
      <w:r w:rsidR="005A0B2F">
        <w:t>play a large pa</w:t>
      </w:r>
      <w:r w:rsidR="00EF2608">
        <w:t>r</w:t>
      </w:r>
      <w:r w:rsidR="005A0B2F">
        <w:t>t in</w:t>
      </w:r>
      <w:r w:rsidR="00BE514E">
        <w:t xml:space="preserve"> </w:t>
      </w:r>
      <w:r w:rsidR="00F608E7">
        <w:t>this</w:t>
      </w:r>
      <w:r w:rsidR="007D2EBD">
        <w:t>.</w:t>
      </w:r>
      <w:r w:rsidR="00431BE2">
        <w:t xml:space="preserve"> </w:t>
      </w:r>
    </w:p>
    <w:p w14:paraId="0A4D585D" w14:textId="77777777" w:rsidR="00431BE2" w:rsidRDefault="00431BE2" w:rsidP="0010530A">
      <w:pPr>
        <w:pStyle w:val="ListBullet"/>
        <w:numPr>
          <w:ilvl w:val="0"/>
          <w:numId w:val="0"/>
        </w:numPr>
      </w:pPr>
    </w:p>
    <w:p w14:paraId="48B45D71" w14:textId="0144508C" w:rsidR="00D33952" w:rsidRDefault="0010530A" w:rsidP="000F2312">
      <w:pPr>
        <w:rPr>
          <w:b/>
          <w:lang w:eastAsia="en-GB"/>
        </w:rPr>
      </w:pPr>
      <w:r>
        <w:lastRenderedPageBreak/>
        <w:t xml:space="preserve">The </w:t>
      </w:r>
      <w:r w:rsidR="00F608E7">
        <w:t xml:space="preserve">variations in service structure across </w:t>
      </w:r>
      <w:r>
        <w:t xml:space="preserve">the country </w:t>
      </w:r>
      <w:r w:rsidR="00F608E7">
        <w:t xml:space="preserve">is </w:t>
      </w:r>
      <w:r>
        <w:t>problematic</w:t>
      </w:r>
      <w:r w:rsidR="006C2C3C">
        <w:t xml:space="preserve"> and poses a challenge </w:t>
      </w:r>
      <w:r>
        <w:t xml:space="preserve">for us and the sector to </w:t>
      </w:r>
      <w:r w:rsidR="00431BE2">
        <w:t xml:space="preserve">accurately </w:t>
      </w:r>
      <w:r>
        <w:t>report on service provision</w:t>
      </w:r>
      <w:r w:rsidR="00431BE2">
        <w:t>s</w:t>
      </w:r>
      <w:r>
        <w:t>.</w:t>
      </w:r>
      <w:r w:rsidR="00431BE2">
        <w:t xml:space="preserve"> </w:t>
      </w:r>
      <w:r w:rsidR="00F46F97">
        <w:t xml:space="preserve">Although </w:t>
      </w:r>
      <w:r w:rsidR="00896A25">
        <w:t>C</w:t>
      </w:r>
      <w:r w:rsidR="00F46F97">
        <w:t>o</w:t>
      </w:r>
      <w:r w:rsidR="00896A25">
        <w:t>ronavirus</w:t>
      </w:r>
      <w:r w:rsidR="00F46F97">
        <w:t xml:space="preserve"> has played a significant </w:t>
      </w:r>
      <w:r w:rsidR="00D074B6">
        <w:t>role</w:t>
      </w:r>
      <w:r w:rsidR="00F46F97">
        <w:t xml:space="preserve"> in the way schools</w:t>
      </w:r>
      <w:r w:rsidR="00B91755">
        <w:t xml:space="preserve"> and VI services </w:t>
      </w:r>
      <w:r w:rsidR="006329EE">
        <w:t>have been</w:t>
      </w:r>
      <w:r w:rsidR="00CF15A8">
        <w:t xml:space="preserve"> </w:t>
      </w:r>
      <w:r w:rsidR="002C018C">
        <w:t>delivered</w:t>
      </w:r>
      <w:r>
        <w:t xml:space="preserve">, </w:t>
      </w:r>
      <w:r w:rsidR="002C018C">
        <w:t>such as an increase in</w:t>
      </w:r>
      <w:r w:rsidR="00B52A92">
        <w:t xml:space="preserve"> virtual learning</w:t>
      </w:r>
      <w:r w:rsidR="00443260">
        <w:t xml:space="preserve">, </w:t>
      </w:r>
      <w:r w:rsidR="00EB7C0E">
        <w:t xml:space="preserve">the full impact of this will not </w:t>
      </w:r>
      <w:r w:rsidR="00CF15A8">
        <w:t>b</w:t>
      </w:r>
      <w:r w:rsidR="00EB7C0E">
        <w:t xml:space="preserve">e known </w:t>
      </w:r>
      <w:r w:rsidR="00C15243">
        <w:t>un</w:t>
      </w:r>
      <w:r w:rsidR="00EB7C0E">
        <w:t xml:space="preserve">til the next </w:t>
      </w:r>
      <w:r w:rsidR="00E44DD6">
        <w:t xml:space="preserve">set of </w:t>
      </w:r>
      <w:r w:rsidR="00EB7C0E">
        <w:t xml:space="preserve">FOI </w:t>
      </w:r>
      <w:r w:rsidR="00E44DD6">
        <w:t>data has been gathered</w:t>
      </w:r>
      <w:r w:rsidR="00EB3E19">
        <w:t>.</w:t>
      </w:r>
      <w:r w:rsidR="00D64E50">
        <w:t xml:space="preserve"> </w:t>
      </w:r>
    </w:p>
    <w:p w14:paraId="7FA96402" w14:textId="34D2B2B9" w:rsidR="00D33952" w:rsidRDefault="00D33952" w:rsidP="000F2312">
      <w:pPr>
        <w:rPr>
          <w:b/>
          <w:lang w:eastAsia="en-GB"/>
        </w:rPr>
      </w:pPr>
    </w:p>
    <w:p w14:paraId="121F2EF7" w14:textId="77777777" w:rsidR="005B33FC" w:rsidRDefault="005B33FC" w:rsidP="000F2312">
      <w:pPr>
        <w:rPr>
          <w:b/>
          <w:lang w:eastAsia="en-GB"/>
        </w:rPr>
      </w:pPr>
    </w:p>
    <w:p w14:paraId="67E4560F" w14:textId="595ECA11" w:rsidR="005654CE" w:rsidRDefault="00B44CF5" w:rsidP="00A35D3D">
      <w:pPr>
        <w:pStyle w:val="Heading2"/>
        <w:rPr>
          <w:lang w:eastAsia="en-GB"/>
        </w:rPr>
      </w:pPr>
      <w:bookmarkStart w:id="27" w:name="_Toc63761385"/>
      <w:bookmarkStart w:id="28" w:name="_Toc63761425"/>
      <w:r>
        <w:rPr>
          <w:lang w:eastAsia="en-GB"/>
        </w:rPr>
        <w:t>6</w:t>
      </w:r>
      <w:r w:rsidR="00D33952">
        <w:rPr>
          <w:lang w:eastAsia="en-GB"/>
        </w:rPr>
        <w:t>. References</w:t>
      </w:r>
      <w:bookmarkEnd w:id="27"/>
      <w:bookmarkEnd w:id="28"/>
    </w:p>
    <w:p w14:paraId="55E580FB" w14:textId="77777777" w:rsidR="002645EE" w:rsidRDefault="002645EE" w:rsidP="002645EE">
      <w:pPr>
        <w:rPr>
          <w:lang w:eastAsia="en-GB"/>
        </w:rPr>
      </w:pPr>
      <w:r>
        <w:rPr>
          <w:lang w:eastAsia="en-GB"/>
        </w:rPr>
        <w:t xml:space="preserve">Edwards (2019) </w:t>
      </w:r>
      <w:r w:rsidRPr="00B366EC">
        <w:rPr>
          <w:lang w:eastAsia="en-GB"/>
        </w:rPr>
        <w:t>Freedom of Information (FOI) questions on local authority education provision for children and young people with vision impairment in England: 2018</w:t>
      </w:r>
      <w:r>
        <w:rPr>
          <w:lang w:eastAsia="en-GB"/>
        </w:rPr>
        <w:t xml:space="preserve">. RNIB. Accessible from </w:t>
      </w:r>
      <w:hyperlink r:id="rId11" w:history="1">
        <w:r w:rsidRPr="00DE7923">
          <w:rPr>
            <w:rStyle w:val="Hyperlink"/>
            <w:lang w:eastAsia="en-GB"/>
          </w:rPr>
          <w:t>here</w:t>
        </w:r>
      </w:hyperlink>
      <w:r>
        <w:rPr>
          <w:lang w:eastAsia="en-GB"/>
        </w:rPr>
        <w:t>.</w:t>
      </w:r>
    </w:p>
    <w:p w14:paraId="29E5FEEC" w14:textId="77777777" w:rsidR="00914E95" w:rsidRPr="00914E95" w:rsidRDefault="00914E95" w:rsidP="00914E95">
      <w:pPr>
        <w:rPr>
          <w:lang w:eastAsia="en-GB"/>
        </w:rPr>
      </w:pPr>
    </w:p>
    <w:sectPr w:rsidR="00914E95" w:rsidRPr="00914E95" w:rsidSect="00763BB8">
      <w:footerReference w:type="default" r:id="rId12"/>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C8612" w14:textId="77777777" w:rsidR="001A0AE9" w:rsidRDefault="001A0AE9" w:rsidP="00E539B0">
      <w:r>
        <w:separator/>
      </w:r>
    </w:p>
  </w:endnote>
  <w:endnote w:type="continuationSeparator" w:id="0">
    <w:p w14:paraId="4CD763C9" w14:textId="77777777" w:rsidR="001A0AE9" w:rsidRDefault="001A0AE9" w:rsidP="00E539B0">
      <w:r>
        <w:continuationSeparator/>
      </w:r>
    </w:p>
  </w:endnote>
  <w:endnote w:type="continuationNotice" w:id="1">
    <w:p w14:paraId="12ECE427" w14:textId="77777777" w:rsidR="001A0AE9" w:rsidRDefault="001A0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036818F8" w14:textId="77777777" w:rsidR="00763E55" w:rsidRDefault="00763E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B928A68" w14:textId="77777777" w:rsidR="00763E55" w:rsidRDefault="00763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DB3AB" w14:textId="77777777" w:rsidR="001A0AE9" w:rsidRDefault="001A0AE9" w:rsidP="00E539B0">
      <w:r>
        <w:separator/>
      </w:r>
    </w:p>
  </w:footnote>
  <w:footnote w:type="continuationSeparator" w:id="0">
    <w:p w14:paraId="17451730" w14:textId="77777777" w:rsidR="001A0AE9" w:rsidRDefault="001A0AE9" w:rsidP="00E539B0">
      <w:r>
        <w:continuationSeparator/>
      </w:r>
    </w:p>
  </w:footnote>
  <w:footnote w:type="continuationNotice" w:id="1">
    <w:p w14:paraId="59D44AA2" w14:textId="77777777" w:rsidR="001A0AE9" w:rsidRDefault="001A0A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A2630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8046B"/>
    <w:multiLevelType w:val="hybridMultilevel"/>
    <w:tmpl w:val="3A48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46D06"/>
    <w:multiLevelType w:val="hybridMultilevel"/>
    <w:tmpl w:val="BCCA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B84127"/>
    <w:multiLevelType w:val="hybridMultilevel"/>
    <w:tmpl w:val="7922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D671343"/>
    <w:multiLevelType w:val="hybridMultilevel"/>
    <w:tmpl w:val="5C78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F47391F"/>
    <w:multiLevelType w:val="hybridMultilevel"/>
    <w:tmpl w:val="32EA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11"/>
  </w:num>
  <w:num w:numId="6">
    <w:abstractNumId w:val="9"/>
  </w:num>
  <w:num w:numId="7">
    <w:abstractNumId w:val="3"/>
  </w:num>
  <w:num w:numId="8">
    <w:abstractNumId w:val="6"/>
  </w:num>
  <w:num w:numId="9">
    <w:abstractNumId w:val="4"/>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C3"/>
    <w:rsid w:val="000010C6"/>
    <w:rsid w:val="000012E5"/>
    <w:rsid w:val="000051B8"/>
    <w:rsid w:val="0001123D"/>
    <w:rsid w:val="00011CA7"/>
    <w:rsid w:val="00015C7F"/>
    <w:rsid w:val="00017F10"/>
    <w:rsid w:val="0002126A"/>
    <w:rsid w:val="00021793"/>
    <w:rsid w:val="000254B6"/>
    <w:rsid w:val="00030E38"/>
    <w:rsid w:val="0003298A"/>
    <w:rsid w:val="00032C0F"/>
    <w:rsid w:val="00033593"/>
    <w:rsid w:val="0003411B"/>
    <w:rsid w:val="00041F26"/>
    <w:rsid w:val="00042446"/>
    <w:rsid w:val="00046223"/>
    <w:rsid w:val="00053D98"/>
    <w:rsid w:val="000545E1"/>
    <w:rsid w:val="0005477B"/>
    <w:rsid w:val="00064EE1"/>
    <w:rsid w:val="0006620F"/>
    <w:rsid w:val="000676EF"/>
    <w:rsid w:val="00070EE3"/>
    <w:rsid w:val="00071E9B"/>
    <w:rsid w:val="00072745"/>
    <w:rsid w:val="00072E7B"/>
    <w:rsid w:val="00077957"/>
    <w:rsid w:val="0008294A"/>
    <w:rsid w:val="000A0FDE"/>
    <w:rsid w:val="000A19BF"/>
    <w:rsid w:val="000A328F"/>
    <w:rsid w:val="000A4F47"/>
    <w:rsid w:val="000A6E02"/>
    <w:rsid w:val="000B320F"/>
    <w:rsid w:val="000B504F"/>
    <w:rsid w:val="000B5BCF"/>
    <w:rsid w:val="000B7E9E"/>
    <w:rsid w:val="000C0CF9"/>
    <w:rsid w:val="000C0E0D"/>
    <w:rsid w:val="000C0E3A"/>
    <w:rsid w:val="000C13A9"/>
    <w:rsid w:val="000C433C"/>
    <w:rsid w:val="000C4DC9"/>
    <w:rsid w:val="000C5A2E"/>
    <w:rsid w:val="000C6B00"/>
    <w:rsid w:val="000D109F"/>
    <w:rsid w:val="000D13FE"/>
    <w:rsid w:val="000D1CC1"/>
    <w:rsid w:val="000D2D57"/>
    <w:rsid w:val="000D7A3B"/>
    <w:rsid w:val="000E101D"/>
    <w:rsid w:val="000E4379"/>
    <w:rsid w:val="000F10AF"/>
    <w:rsid w:val="000F2312"/>
    <w:rsid w:val="000F32BC"/>
    <w:rsid w:val="000F3631"/>
    <w:rsid w:val="000F4C30"/>
    <w:rsid w:val="000F5208"/>
    <w:rsid w:val="000F54AF"/>
    <w:rsid w:val="00101F30"/>
    <w:rsid w:val="0010321F"/>
    <w:rsid w:val="0010530A"/>
    <w:rsid w:val="00105B37"/>
    <w:rsid w:val="00106BAD"/>
    <w:rsid w:val="00112944"/>
    <w:rsid w:val="00122648"/>
    <w:rsid w:val="0012644F"/>
    <w:rsid w:val="00130D45"/>
    <w:rsid w:val="00131570"/>
    <w:rsid w:val="00134120"/>
    <w:rsid w:val="00135776"/>
    <w:rsid w:val="00140B80"/>
    <w:rsid w:val="00140F32"/>
    <w:rsid w:val="001427A4"/>
    <w:rsid w:val="00143631"/>
    <w:rsid w:val="00143E43"/>
    <w:rsid w:val="00150451"/>
    <w:rsid w:val="00151937"/>
    <w:rsid w:val="00152B17"/>
    <w:rsid w:val="0015310F"/>
    <w:rsid w:val="00160C7D"/>
    <w:rsid w:val="001655D5"/>
    <w:rsid w:val="001660C5"/>
    <w:rsid w:val="0017106F"/>
    <w:rsid w:val="001731B1"/>
    <w:rsid w:val="001757CF"/>
    <w:rsid w:val="001757D3"/>
    <w:rsid w:val="00175A25"/>
    <w:rsid w:val="001817FF"/>
    <w:rsid w:val="00184D5A"/>
    <w:rsid w:val="00186D76"/>
    <w:rsid w:val="0019021D"/>
    <w:rsid w:val="00190A99"/>
    <w:rsid w:val="001916A8"/>
    <w:rsid w:val="001966C3"/>
    <w:rsid w:val="001A0AE9"/>
    <w:rsid w:val="001A1122"/>
    <w:rsid w:val="001A1D6C"/>
    <w:rsid w:val="001A45CB"/>
    <w:rsid w:val="001A4990"/>
    <w:rsid w:val="001A4C69"/>
    <w:rsid w:val="001A7246"/>
    <w:rsid w:val="001B1A3A"/>
    <w:rsid w:val="001B2F1E"/>
    <w:rsid w:val="001B5B76"/>
    <w:rsid w:val="001C268E"/>
    <w:rsid w:val="001C42FE"/>
    <w:rsid w:val="001C5CE0"/>
    <w:rsid w:val="001D27E3"/>
    <w:rsid w:val="001D4431"/>
    <w:rsid w:val="001D4673"/>
    <w:rsid w:val="001D5A85"/>
    <w:rsid w:val="001E0457"/>
    <w:rsid w:val="001E19E0"/>
    <w:rsid w:val="001E6FA1"/>
    <w:rsid w:val="001F00EF"/>
    <w:rsid w:val="001F14AA"/>
    <w:rsid w:val="001F29BE"/>
    <w:rsid w:val="001F2C18"/>
    <w:rsid w:val="002037D9"/>
    <w:rsid w:val="00207129"/>
    <w:rsid w:val="00207757"/>
    <w:rsid w:val="00211976"/>
    <w:rsid w:val="00214326"/>
    <w:rsid w:val="002146FD"/>
    <w:rsid w:val="0021779C"/>
    <w:rsid w:val="00220078"/>
    <w:rsid w:val="0022242C"/>
    <w:rsid w:val="0022304B"/>
    <w:rsid w:val="00227997"/>
    <w:rsid w:val="002313B1"/>
    <w:rsid w:val="00233701"/>
    <w:rsid w:val="0023408A"/>
    <w:rsid w:val="00234679"/>
    <w:rsid w:val="002350C5"/>
    <w:rsid w:val="00235665"/>
    <w:rsid w:val="0024025C"/>
    <w:rsid w:val="00241E70"/>
    <w:rsid w:val="002427A3"/>
    <w:rsid w:val="002477E3"/>
    <w:rsid w:val="00250065"/>
    <w:rsid w:val="0025044E"/>
    <w:rsid w:val="002504F8"/>
    <w:rsid w:val="00251860"/>
    <w:rsid w:val="00253173"/>
    <w:rsid w:val="002538FD"/>
    <w:rsid w:val="00253BEC"/>
    <w:rsid w:val="00254E00"/>
    <w:rsid w:val="00254EDE"/>
    <w:rsid w:val="002566B8"/>
    <w:rsid w:val="002572F5"/>
    <w:rsid w:val="002577DF"/>
    <w:rsid w:val="00260A09"/>
    <w:rsid w:val="00262399"/>
    <w:rsid w:val="00262DB1"/>
    <w:rsid w:val="00264277"/>
    <w:rsid w:val="002645EE"/>
    <w:rsid w:val="00265260"/>
    <w:rsid w:val="0026534F"/>
    <w:rsid w:val="00265ABC"/>
    <w:rsid w:val="002665BC"/>
    <w:rsid w:val="00266F92"/>
    <w:rsid w:val="0027036A"/>
    <w:rsid w:val="00275F6C"/>
    <w:rsid w:val="0027757F"/>
    <w:rsid w:val="00280278"/>
    <w:rsid w:val="00280600"/>
    <w:rsid w:val="00281563"/>
    <w:rsid w:val="002817ED"/>
    <w:rsid w:val="00285B92"/>
    <w:rsid w:val="0028618A"/>
    <w:rsid w:val="002908CD"/>
    <w:rsid w:val="00292E34"/>
    <w:rsid w:val="00294F90"/>
    <w:rsid w:val="002977DD"/>
    <w:rsid w:val="002A366D"/>
    <w:rsid w:val="002A67FA"/>
    <w:rsid w:val="002B01C9"/>
    <w:rsid w:val="002B294C"/>
    <w:rsid w:val="002B505F"/>
    <w:rsid w:val="002B5A9E"/>
    <w:rsid w:val="002B631C"/>
    <w:rsid w:val="002B64C1"/>
    <w:rsid w:val="002B6A52"/>
    <w:rsid w:val="002C018C"/>
    <w:rsid w:val="002C04B1"/>
    <w:rsid w:val="002C59F8"/>
    <w:rsid w:val="002C6952"/>
    <w:rsid w:val="002C780A"/>
    <w:rsid w:val="002D20ED"/>
    <w:rsid w:val="002D43F8"/>
    <w:rsid w:val="002D7243"/>
    <w:rsid w:val="002E15BE"/>
    <w:rsid w:val="002E215A"/>
    <w:rsid w:val="002E21D7"/>
    <w:rsid w:val="002E3FB4"/>
    <w:rsid w:val="002E7146"/>
    <w:rsid w:val="002F1B78"/>
    <w:rsid w:val="002F4608"/>
    <w:rsid w:val="002F6B71"/>
    <w:rsid w:val="002F6CAB"/>
    <w:rsid w:val="002F7BB8"/>
    <w:rsid w:val="00300BDA"/>
    <w:rsid w:val="00303038"/>
    <w:rsid w:val="00304C10"/>
    <w:rsid w:val="0031133C"/>
    <w:rsid w:val="00312EC0"/>
    <w:rsid w:val="00315F97"/>
    <w:rsid w:val="003164CB"/>
    <w:rsid w:val="003205CA"/>
    <w:rsid w:val="003209F2"/>
    <w:rsid w:val="0032396D"/>
    <w:rsid w:val="003254E0"/>
    <w:rsid w:val="00334D9D"/>
    <w:rsid w:val="0034110D"/>
    <w:rsid w:val="00347BDF"/>
    <w:rsid w:val="00350384"/>
    <w:rsid w:val="00351095"/>
    <w:rsid w:val="003519E7"/>
    <w:rsid w:val="003567F5"/>
    <w:rsid w:val="00360334"/>
    <w:rsid w:val="0036374B"/>
    <w:rsid w:val="003640FF"/>
    <w:rsid w:val="00366342"/>
    <w:rsid w:val="003711B4"/>
    <w:rsid w:val="0037129E"/>
    <w:rsid w:val="00373E5D"/>
    <w:rsid w:val="00373E6C"/>
    <w:rsid w:val="00375C60"/>
    <w:rsid w:val="00375F76"/>
    <w:rsid w:val="00376F74"/>
    <w:rsid w:val="00384A7F"/>
    <w:rsid w:val="003858AD"/>
    <w:rsid w:val="00390E46"/>
    <w:rsid w:val="003929EF"/>
    <w:rsid w:val="00396200"/>
    <w:rsid w:val="003A07EC"/>
    <w:rsid w:val="003A618C"/>
    <w:rsid w:val="003B3C10"/>
    <w:rsid w:val="003B79F9"/>
    <w:rsid w:val="003C0E38"/>
    <w:rsid w:val="003C1B5A"/>
    <w:rsid w:val="003C499C"/>
    <w:rsid w:val="003C7841"/>
    <w:rsid w:val="003D2284"/>
    <w:rsid w:val="003D2FA0"/>
    <w:rsid w:val="003D3F19"/>
    <w:rsid w:val="003D545A"/>
    <w:rsid w:val="003D5919"/>
    <w:rsid w:val="003E0595"/>
    <w:rsid w:val="003E707E"/>
    <w:rsid w:val="003E715F"/>
    <w:rsid w:val="003E76C3"/>
    <w:rsid w:val="003E7E36"/>
    <w:rsid w:val="003F1882"/>
    <w:rsid w:val="003F44E3"/>
    <w:rsid w:val="003F5C84"/>
    <w:rsid w:val="0040084A"/>
    <w:rsid w:val="00401830"/>
    <w:rsid w:val="00401C92"/>
    <w:rsid w:val="00404976"/>
    <w:rsid w:val="00405D5C"/>
    <w:rsid w:val="004067A2"/>
    <w:rsid w:val="00406BE8"/>
    <w:rsid w:val="00407FFB"/>
    <w:rsid w:val="004117A3"/>
    <w:rsid w:val="004139CA"/>
    <w:rsid w:val="00415075"/>
    <w:rsid w:val="00417715"/>
    <w:rsid w:val="00420605"/>
    <w:rsid w:val="004214CB"/>
    <w:rsid w:val="004248B7"/>
    <w:rsid w:val="0042538E"/>
    <w:rsid w:val="00425DB0"/>
    <w:rsid w:val="0042739F"/>
    <w:rsid w:val="004300CC"/>
    <w:rsid w:val="00431045"/>
    <w:rsid w:val="00431BE2"/>
    <w:rsid w:val="004339E9"/>
    <w:rsid w:val="0044126F"/>
    <w:rsid w:val="0044266C"/>
    <w:rsid w:val="00443260"/>
    <w:rsid w:val="00443B66"/>
    <w:rsid w:val="00450357"/>
    <w:rsid w:val="0045188D"/>
    <w:rsid w:val="0045261F"/>
    <w:rsid w:val="00453A19"/>
    <w:rsid w:val="004558D0"/>
    <w:rsid w:val="004558D3"/>
    <w:rsid w:val="00456ADD"/>
    <w:rsid w:val="00456E33"/>
    <w:rsid w:val="00460C14"/>
    <w:rsid w:val="00462338"/>
    <w:rsid w:val="00462E68"/>
    <w:rsid w:val="00465FCC"/>
    <w:rsid w:val="0046716A"/>
    <w:rsid w:val="00470225"/>
    <w:rsid w:val="00473DAA"/>
    <w:rsid w:val="00474D36"/>
    <w:rsid w:val="00485C2E"/>
    <w:rsid w:val="00486A84"/>
    <w:rsid w:val="0048777F"/>
    <w:rsid w:val="004877E6"/>
    <w:rsid w:val="004922CD"/>
    <w:rsid w:val="00492DC3"/>
    <w:rsid w:val="00492F51"/>
    <w:rsid w:val="00494307"/>
    <w:rsid w:val="00494BD9"/>
    <w:rsid w:val="00496861"/>
    <w:rsid w:val="00497FC2"/>
    <w:rsid w:val="004A1329"/>
    <w:rsid w:val="004A28E5"/>
    <w:rsid w:val="004A4275"/>
    <w:rsid w:val="004A5501"/>
    <w:rsid w:val="004A563E"/>
    <w:rsid w:val="004B1D18"/>
    <w:rsid w:val="004B5E28"/>
    <w:rsid w:val="004C03FB"/>
    <w:rsid w:val="004C0448"/>
    <w:rsid w:val="004C0AD1"/>
    <w:rsid w:val="004C207A"/>
    <w:rsid w:val="004C3C1F"/>
    <w:rsid w:val="004C6196"/>
    <w:rsid w:val="004D1406"/>
    <w:rsid w:val="004D197F"/>
    <w:rsid w:val="004D2ACC"/>
    <w:rsid w:val="004D5A89"/>
    <w:rsid w:val="004E5A21"/>
    <w:rsid w:val="004F3037"/>
    <w:rsid w:val="004F72DC"/>
    <w:rsid w:val="0050078C"/>
    <w:rsid w:val="00502D44"/>
    <w:rsid w:val="005058BC"/>
    <w:rsid w:val="005105E2"/>
    <w:rsid w:val="00512437"/>
    <w:rsid w:val="005133D8"/>
    <w:rsid w:val="00513D7C"/>
    <w:rsid w:val="005162D2"/>
    <w:rsid w:val="005176CD"/>
    <w:rsid w:val="00517714"/>
    <w:rsid w:val="00521A04"/>
    <w:rsid w:val="00522736"/>
    <w:rsid w:val="005233E2"/>
    <w:rsid w:val="0053135E"/>
    <w:rsid w:val="0053189C"/>
    <w:rsid w:val="00533B0E"/>
    <w:rsid w:val="00534DE7"/>
    <w:rsid w:val="00534DFD"/>
    <w:rsid w:val="0053571E"/>
    <w:rsid w:val="00535CDA"/>
    <w:rsid w:val="005371C3"/>
    <w:rsid w:val="005400FC"/>
    <w:rsid w:val="00540EF6"/>
    <w:rsid w:val="005411BB"/>
    <w:rsid w:val="005443CB"/>
    <w:rsid w:val="0054535A"/>
    <w:rsid w:val="005453DC"/>
    <w:rsid w:val="00545CF0"/>
    <w:rsid w:val="00551040"/>
    <w:rsid w:val="005533EF"/>
    <w:rsid w:val="005565E2"/>
    <w:rsid w:val="00556EDC"/>
    <w:rsid w:val="005608BF"/>
    <w:rsid w:val="005615CF"/>
    <w:rsid w:val="00562B9F"/>
    <w:rsid w:val="00563092"/>
    <w:rsid w:val="005653DE"/>
    <w:rsid w:val="005654CE"/>
    <w:rsid w:val="0056560C"/>
    <w:rsid w:val="00571E79"/>
    <w:rsid w:val="005721CB"/>
    <w:rsid w:val="005772BB"/>
    <w:rsid w:val="00582737"/>
    <w:rsid w:val="005878C0"/>
    <w:rsid w:val="00591437"/>
    <w:rsid w:val="00591E02"/>
    <w:rsid w:val="00595949"/>
    <w:rsid w:val="005A02B0"/>
    <w:rsid w:val="005A0B2F"/>
    <w:rsid w:val="005A0DAF"/>
    <w:rsid w:val="005A5CBF"/>
    <w:rsid w:val="005A7794"/>
    <w:rsid w:val="005B111B"/>
    <w:rsid w:val="005B18C1"/>
    <w:rsid w:val="005B1A16"/>
    <w:rsid w:val="005B33DF"/>
    <w:rsid w:val="005B33FC"/>
    <w:rsid w:val="005B511E"/>
    <w:rsid w:val="005B65E5"/>
    <w:rsid w:val="005B71BC"/>
    <w:rsid w:val="005B7A32"/>
    <w:rsid w:val="005B7F76"/>
    <w:rsid w:val="005C3D48"/>
    <w:rsid w:val="005C5D77"/>
    <w:rsid w:val="005C604C"/>
    <w:rsid w:val="005C60D1"/>
    <w:rsid w:val="005D03E6"/>
    <w:rsid w:val="005D0808"/>
    <w:rsid w:val="005D0EEB"/>
    <w:rsid w:val="005D3A6D"/>
    <w:rsid w:val="005E229F"/>
    <w:rsid w:val="005E2EB3"/>
    <w:rsid w:val="005E587A"/>
    <w:rsid w:val="005E5B86"/>
    <w:rsid w:val="005E6A4E"/>
    <w:rsid w:val="005F1394"/>
    <w:rsid w:val="005F4860"/>
    <w:rsid w:val="005F4BBE"/>
    <w:rsid w:val="005F4DC6"/>
    <w:rsid w:val="005F4F51"/>
    <w:rsid w:val="00600CEB"/>
    <w:rsid w:val="006020B2"/>
    <w:rsid w:val="00603B4B"/>
    <w:rsid w:val="00604283"/>
    <w:rsid w:val="00606CE4"/>
    <w:rsid w:val="006105BF"/>
    <w:rsid w:val="006107E8"/>
    <w:rsid w:val="006109AB"/>
    <w:rsid w:val="00614B4A"/>
    <w:rsid w:val="00615570"/>
    <w:rsid w:val="00616FA2"/>
    <w:rsid w:val="0061736B"/>
    <w:rsid w:val="00617685"/>
    <w:rsid w:val="00617908"/>
    <w:rsid w:val="0062031D"/>
    <w:rsid w:val="00620A07"/>
    <w:rsid w:val="00620C74"/>
    <w:rsid w:val="0062163A"/>
    <w:rsid w:val="00627B87"/>
    <w:rsid w:val="006309B6"/>
    <w:rsid w:val="00632108"/>
    <w:rsid w:val="006329EE"/>
    <w:rsid w:val="006337A0"/>
    <w:rsid w:val="00635974"/>
    <w:rsid w:val="0063753F"/>
    <w:rsid w:val="00637FF7"/>
    <w:rsid w:val="00642DCD"/>
    <w:rsid w:val="00644613"/>
    <w:rsid w:val="006531F0"/>
    <w:rsid w:val="00655AB4"/>
    <w:rsid w:val="006577B7"/>
    <w:rsid w:val="006609E2"/>
    <w:rsid w:val="00660D27"/>
    <w:rsid w:val="00661A3B"/>
    <w:rsid w:val="00661DBC"/>
    <w:rsid w:val="00666C33"/>
    <w:rsid w:val="00667C5B"/>
    <w:rsid w:val="0067033C"/>
    <w:rsid w:val="006743F1"/>
    <w:rsid w:val="00677675"/>
    <w:rsid w:val="006826C5"/>
    <w:rsid w:val="00683D4B"/>
    <w:rsid w:val="00686000"/>
    <w:rsid w:val="006879FD"/>
    <w:rsid w:val="00692280"/>
    <w:rsid w:val="00694FEA"/>
    <w:rsid w:val="006A1E2A"/>
    <w:rsid w:val="006A2940"/>
    <w:rsid w:val="006A3088"/>
    <w:rsid w:val="006A5522"/>
    <w:rsid w:val="006A55CC"/>
    <w:rsid w:val="006B685E"/>
    <w:rsid w:val="006B6B24"/>
    <w:rsid w:val="006C2C3C"/>
    <w:rsid w:val="006C4B67"/>
    <w:rsid w:val="006D0907"/>
    <w:rsid w:val="006D2796"/>
    <w:rsid w:val="006D29C0"/>
    <w:rsid w:val="006D61E9"/>
    <w:rsid w:val="006D78CD"/>
    <w:rsid w:val="006D7BEC"/>
    <w:rsid w:val="006E0CF6"/>
    <w:rsid w:val="006E4DF6"/>
    <w:rsid w:val="006E78B9"/>
    <w:rsid w:val="006E7BD0"/>
    <w:rsid w:val="006F1E36"/>
    <w:rsid w:val="006F2C9E"/>
    <w:rsid w:val="006F3850"/>
    <w:rsid w:val="006F38C1"/>
    <w:rsid w:val="007006D3"/>
    <w:rsid w:val="007026F7"/>
    <w:rsid w:val="00706689"/>
    <w:rsid w:val="0071016F"/>
    <w:rsid w:val="00715978"/>
    <w:rsid w:val="0071789B"/>
    <w:rsid w:val="007273AB"/>
    <w:rsid w:val="00730E41"/>
    <w:rsid w:val="00734BF7"/>
    <w:rsid w:val="00740A6C"/>
    <w:rsid w:val="00742595"/>
    <w:rsid w:val="0074618E"/>
    <w:rsid w:val="00751346"/>
    <w:rsid w:val="0075284F"/>
    <w:rsid w:val="0075365F"/>
    <w:rsid w:val="00761064"/>
    <w:rsid w:val="00763BB8"/>
    <w:rsid w:val="00763E55"/>
    <w:rsid w:val="00764D6B"/>
    <w:rsid w:val="00765880"/>
    <w:rsid w:val="0076591B"/>
    <w:rsid w:val="0076727B"/>
    <w:rsid w:val="00767E1C"/>
    <w:rsid w:val="00770B28"/>
    <w:rsid w:val="00773B7E"/>
    <w:rsid w:val="00774017"/>
    <w:rsid w:val="007749AC"/>
    <w:rsid w:val="00775230"/>
    <w:rsid w:val="00775515"/>
    <w:rsid w:val="00775596"/>
    <w:rsid w:val="007765A3"/>
    <w:rsid w:val="0077699C"/>
    <w:rsid w:val="00780127"/>
    <w:rsid w:val="0078198F"/>
    <w:rsid w:val="007829DE"/>
    <w:rsid w:val="00784B54"/>
    <w:rsid w:val="00786DF4"/>
    <w:rsid w:val="00787F87"/>
    <w:rsid w:val="00790048"/>
    <w:rsid w:val="007912F5"/>
    <w:rsid w:val="0079261C"/>
    <w:rsid w:val="00793490"/>
    <w:rsid w:val="007961E0"/>
    <w:rsid w:val="007969DB"/>
    <w:rsid w:val="00796AE8"/>
    <w:rsid w:val="00796F4A"/>
    <w:rsid w:val="007A48AD"/>
    <w:rsid w:val="007B3864"/>
    <w:rsid w:val="007B463A"/>
    <w:rsid w:val="007B4F10"/>
    <w:rsid w:val="007B5F7B"/>
    <w:rsid w:val="007B67C2"/>
    <w:rsid w:val="007C0891"/>
    <w:rsid w:val="007C0E83"/>
    <w:rsid w:val="007C2076"/>
    <w:rsid w:val="007C2B64"/>
    <w:rsid w:val="007C3E5C"/>
    <w:rsid w:val="007C6ADD"/>
    <w:rsid w:val="007D00BA"/>
    <w:rsid w:val="007D0EE4"/>
    <w:rsid w:val="007D2635"/>
    <w:rsid w:val="007D2EBD"/>
    <w:rsid w:val="007D43A4"/>
    <w:rsid w:val="007D666E"/>
    <w:rsid w:val="007E4176"/>
    <w:rsid w:val="007E6BD1"/>
    <w:rsid w:val="007F256A"/>
    <w:rsid w:val="0080233C"/>
    <w:rsid w:val="00802DAC"/>
    <w:rsid w:val="00804764"/>
    <w:rsid w:val="008066F1"/>
    <w:rsid w:val="00813A93"/>
    <w:rsid w:val="00813F40"/>
    <w:rsid w:val="00816D27"/>
    <w:rsid w:val="00821B41"/>
    <w:rsid w:val="00822310"/>
    <w:rsid w:val="0082399C"/>
    <w:rsid w:val="00823C90"/>
    <w:rsid w:val="00823DE5"/>
    <w:rsid w:val="008244EA"/>
    <w:rsid w:val="00824AE1"/>
    <w:rsid w:val="00826CAA"/>
    <w:rsid w:val="00830350"/>
    <w:rsid w:val="008315B3"/>
    <w:rsid w:val="008319DF"/>
    <w:rsid w:val="008326D9"/>
    <w:rsid w:val="00834770"/>
    <w:rsid w:val="00840D15"/>
    <w:rsid w:val="00843646"/>
    <w:rsid w:val="008442C3"/>
    <w:rsid w:val="00846CED"/>
    <w:rsid w:val="00847C77"/>
    <w:rsid w:val="0085025F"/>
    <w:rsid w:val="00851762"/>
    <w:rsid w:val="00852936"/>
    <w:rsid w:val="008538C4"/>
    <w:rsid w:val="008559F7"/>
    <w:rsid w:val="00856660"/>
    <w:rsid w:val="0085694C"/>
    <w:rsid w:val="008575C2"/>
    <w:rsid w:val="0086403C"/>
    <w:rsid w:val="00864A89"/>
    <w:rsid w:val="00865CEE"/>
    <w:rsid w:val="00867EE0"/>
    <w:rsid w:val="008718F0"/>
    <w:rsid w:val="00872C6E"/>
    <w:rsid w:val="00873193"/>
    <w:rsid w:val="008737B9"/>
    <w:rsid w:val="00882EB4"/>
    <w:rsid w:val="0088727E"/>
    <w:rsid w:val="008931C6"/>
    <w:rsid w:val="00896A25"/>
    <w:rsid w:val="008973EE"/>
    <w:rsid w:val="008A0737"/>
    <w:rsid w:val="008A4268"/>
    <w:rsid w:val="008A439B"/>
    <w:rsid w:val="008B3AFE"/>
    <w:rsid w:val="008B47E5"/>
    <w:rsid w:val="008B5733"/>
    <w:rsid w:val="008B6740"/>
    <w:rsid w:val="008B75CD"/>
    <w:rsid w:val="008C0269"/>
    <w:rsid w:val="008C1788"/>
    <w:rsid w:val="008C32AC"/>
    <w:rsid w:val="008C35D7"/>
    <w:rsid w:val="008C3A1B"/>
    <w:rsid w:val="008C4B2E"/>
    <w:rsid w:val="008C5F7F"/>
    <w:rsid w:val="008C76BC"/>
    <w:rsid w:val="008D4178"/>
    <w:rsid w:val="008E01BE"/>
    <w:rsid w:val="008E0918"/>
    <w:rsid w:val="008E3B85"/>
    <w:rsid w:val="008F29C7"/>
    <w:rsid w:val="008F764E"/>
    <w:rsid w:val="0090084B"/>
    <w:rsid w:val="00902A9E"/>
    <w:rsid w:val="00904F4C"/>
    <w:rsid w:val="00907A4A"/>
    <w:rsid w:val="00911A8C"/>
    <w:rsid w:val="00914475"/>
    <w:rsid w:val="00914E95"/>
    <w:rsid w:val="00915272"/>
    <w:rsid w:val="00916E14"/>
    <w:rsid w:val="00920FE2"/>
    <w:rsid w:val="00921BB9"/>
    <w:rsid w:val="00927827"/>
    <w:rsid w:val="0093030C"/>
    <w:rsid w:val="009337AE"/>
    <w:rsid w:val="00935DE6"/>
    <w:rsid w:val="00936E45"/>
    <w:rsid w:val="00944815"/>
    <w:rsid w:val="00947949"/>
    <w:rsid w:val="009507F0"/>
    <w:rsid w:val="009510C3"/>
    <w:rsid w:val="00951212"/>
    <w:rsid w:val="00951EF5"/>
    <w:rsid w:val="00952488"/>
    <w:rsid w:val="00953947"/>
    <w:rsid w:val="00957069"/>
    <w:rsid w:val="00957575"/>
    <w:rsid w:val="009576A1"/>
    <w:rsid w:val="0096058E"/>
    <w:rsid w:val="00960D6F"/>
    <w:rsid w:val="009617BF"/>
    <w:rsid w:val="009647CD"/>
    <w:rsid w:val="009675F8"/>
    <w:rsid w:val="00972AED"/>
    <w:rsid w:val="00972DE5"/>
    <w:rsid w:val="00973E37"/>
    <w:rsid w:val="00977414"/>
    <w:rsid w:val="009824A1"/>
    <w:rsid w:val="0098446E"/>
    <w:rsid w:val="009862C7"/>
    <w:rsid w:val="009868EE"/>
    <w:rsid w:val="00987A6B"/>
    <w:rsid w:val="009904A5"/>
    <w:rsid w:val="00990788"/>
    <w:rsid w:val="00993073"/>
    <w:rsid w:val="0099318E"/>
    <w:rsid w:val="00995D48"/>
    <w:rsid w:val="009960D4"/>
    <w:rsid w:val="00996AB1"/>
    <w:rsid w:val="00997F6D"/>
    <w:rsid w:val="009A0BE0"/>
    <w:rsid w:val="009A3112"/>
    <w:rsid w:val="009A3D73"/>
    <w:rsid w:val="009A4405"/>
    <w:rsid w:val="009A753A"/>
    <w:rsid w:val="009B01E0"/>
    <w:rsid w:val="009B01E6"/>
    <w:rsid w:val="009B1F97"/>
    <w:rsid w:val="009B34DF"/>
    <w:rsid w:val="009B7989"/>
    <w:rsid w:val="009C2B5C"/>
    <w:rsid w:val="009C2F94"/>
    <w:rsid w:val="009C4C59"/>
    <w:rsid w:val="009C6589"/>
    <w:rsid w:val="009C65BB"/>
    <w:rsid w:val="009D08EE"/>
    <w:rsid w:val="009D26C5"/>
    <w:rsid w:val="009D2BCE"/>
    <w:rsid w:val="009E127F"/>
    <w:rsid w:val="009F144F"/>
    <w:rsid w:val="009F4185"/>
    <w:rsid w:val="009F4775"/>
    <w:rsid w:val="009F4ED8"/>
    <w:rsid w:val="009F7404"/>
    <w:rsid w:val="00A012B4"/>
    <w:rsid w:val="00A14F60"/>
    <w:rsid w:val="00A15A7B"/>
    <w:rsid w:val="00A17A87"/>
    <w:rsid w:val="00A26442"/>
    <w:rsid w:val="00A26800"/>
    <w:rsid w:val="00A31B28"/>
    <w:rsid w:val="00A32FDA"/>
    <w:rsid w:val="00A3343D"/>
    <w:rsid w:val="00A33446"/>
    <w:rsid w:val="00A34228"/>
    <w:rsid w:val="00A35649"/>
    <w:rsid w:val="00A35D3D"/>
    <w:rsid w:val="00A40270"/>
    <w:rsid w:val="00A40DB4"/>
    <w:rsid w:val="00A43484"/>
    <w:rsid w:val="00A451B7"/>
    <w:rsid w:val="00A479AB"/>
    <w:rsid w:val="00A500EA"/>
    <w:rsid w:val="00A508FE"/>
    <w:rsid w:val="00A54B88"/>
    <w:rsid w:val="00A57F60"/>
    <w:rsid w:val="00A6393B"/>
    <w:rsid w:val="00A71611"/>
    <w:rsid w:val="00A73FCA"/>
    <w:rsid w:val="00A74C74"/>
    <w:rsid w:val="00A75273"/>
    <w:rsid w:val="00A8038E"/>
    <w:rsid w:val="00A830F5"/>
    <w:rsid w:val="00A841FE"/>
    <w:rsid w:val="00A85EAE"/>
    <w:rsid w:val="00A8771E"/>
    <w:rsid w:val="00A90C28"/>
    <w:rsid w:val="00A915D7"/>
    <w:rsid w:val="00A918AE"/>
    <w:rsid w:val="00A9457B"/>
    <w:rsid w:val="00A95D32"/>
    <w:rsid w:val="00AA1F1D"/>
    <w:rsid w:val="00AA6F99"/>
    <w:rsid w:val="00AB3245"/>
    <w:rsid w:val="00AB4287"/>
    <w:rsid w:val="00AB4555"/>
    <w:rsid w:val="00AB4FD3"/>
    <w:rsid w:val="00AB58F4"/>
    <w:rsid w:val="00AB66F8"/>
    <w:rsid w:val="00AC0367"/>
    <w:rsid w:val="00AC06E0"/>
    <w:rsid w:val="00AC0A87"/>
    <w:rsid w:val="00AC1644"/>
    <w:rsid w:val="00AC213A"/>
    <w:rsid w:val="00AC5893"/>
    <w:rsid w:val="00AC5988"/>
    <w:rsid w:val="00AC6FEC"/>
    <w:rsid w:val="00AC740F"/>
    <w:rsid w:val="00AD0184"/>
    <w:rsid w:val="00AD03BE"/>
    <w:rsid w:val="00AD4995"/>
    <w:rsid w:val="00AE0498"/>
    <w:rsid w:val="00AE0E93"/>
    <w:rsid w:val="00AE1069"/>
    <w:rsid w:val="00AE29B2"/>
    <w:rsid w:val="00AE537E"/>
    <w:rsid w:val="00AE748F"/>
    <w:rsid w:val="00AF126C"/>
    <w:rsid w:val="00AF59F8"/>
    <w:rsid w:val="00AF60BD"/>
    <w:rsid w:val="00B01594"/>
    <w:rsid w:val="00B02443"/>
    <w:rsid w:val="00B028B3"/>
    <w:rsid w:val="00B103BF"/>
    <w:rsid w:val="00B13830"/>
    <w:rsid w:val="00B1439E"/>
    <w:rsid w:val="00B14EBD"/>
    <w:rsid w:val="00B1515F"/>
    <w:rsid w:val="00B20DE0"/>
    <w:rsid w:val="00B2252B"/>
    <w:rsid w:val="00B2429E"/>
    <w:rsid w:val="00B25741"/>
    <w:rsid w:val="00B270C8"/>
    <w:rsid w:val="00B32533"/>
    <w:rsid w:val="00B351B5"/>
    <w:rsid w:val="00B35220"/>
    <w:rsid w:val="00B358FC"/>
    <w:rsid w:val="00B41008"/>
    <w:rsid w:val="00B416F6"/>
    <w:rsid w:val="00B41CCD"/>
    <w:rsid w:val="00B421F1"/>
    <w:rsid w:val="00B4491A"/>
    <w:rsid w:val="00B44CF5"/>
    <w:rsid w:val="00B44F61"/>
    <w:rsid w:val="00B45800"/>
    <w:rsid w:val="00B46A4C"/>
    <w:rsid w:val="00B50BAB"/>
    <w:rsid w:val="00B51C57"/>
    <w:rsid w:val="00B523C8"/>
    <w:rsid w:val="00B52A92"/>
    <w:rsid w:val="00B5688C"/>
    <w:rsid w:val="00B60852"/>
    <w:rsid w:val="00B60F12"/>
    <w:rsid w:val="00B61754"/>
    <w:rsid w:val="00B6497E"/>
    <w:rsid w:val="00B6748E"/>
    <w:rsid w:val="00B67527"/>
    <w:rsid w:val="00B71B82"/>
    <w:rsid w:val="00B729F5"/>
    <w:rsid w:val="00B77503"/>
    <w:rsid w:val="00B77505"/>
    <w:rsid w:val="00B80AC6"/>
    <w:rsid w:val="00B82692"/>
    <w:rsid w:val="00B82B5A"/>
    <w:rsid w:val="00B82F2F"/>
    <w:rsid w:val="00B86753"/>
    <w:rsid w:val="00B87513"/>
    <w:rsid w:val="00B90225"/>
    <w:rsid w:val="00B91755"/>
    <w:rsid w:val="00B92B76"/>
    <w:rsid w:val="00B93F27"/>
    <w:rsid w:val="00B97B4F"/>
    <w:rsid w:val="00BA09BE"/>
    <w:rsid w:val="00BA32C2"/>
    <w:rsid w:val="00BA4C3D"/>
    <w:rsid w:val="00BA7480"/>
    <w:rsid w:val="00BA78E1"/>
    <w:rsid w:val="00BB00B5"/>
    <w:rsid w:val="00BB2070"/>
    <w:rsid w:val="00BB3186"/>
    <w:rsid w:val="00BB5C4E"/>
    <w:rsid w:val="00BB640F"/>
    <w:rsid w:val="00BB6700"/>
    <w:rsid w:val="00BB7F62"/>
    <w:rsid w:val="00BB7FE9"/>
    <w:rsid w:val="00BC3FE4"/>
    <w:rsid w:val="00BC50BE"/>
    <w:rsid w:val="00BC68FF"/>
    <w:rsid w:val="00BD086F"/>
    <w:rsid w:val="00BD0F0E"/>
    <w:rsid w:val="00BD1040"/>
    <w:rsid w:val="00BD2CD9"/>
    <w:rsid w:val="00BD341A"/>
    <w:rsid w:val="00BD49EB"/>
    <w:rsid w:val="00BD6995"/>
    <w:rsid w:val="00BE27C6"/>
    <w:rsid w:val="00BE3F87"/>
    <w:rsid w:val="00BE514E"/>
    <w:rsid w:val="00BF0320"/>
    <w:rsid w:val="00BF1B93"/>
    <w:rsid w:val="00BF3432"/>
    <w:rsid w:val="00BF3D6E"/>
    <w:rsid w:val="00BF4FCC"/>
    <w:rsid w:val="00BF50D8"/>
    <w:rsid w:val="00BF6AAD"/>
    <w:rsid w:val="00BF7176"/>
    <w:rsid w:val="00BF7344"/>
    <w:rsid w:val="00C01B9B"/>
    <w:rsid w:val="00C01FD5"/>
    <w:rsid w:val="00C037F9"/>
    <w:rsid w:val="00C05330"/>
    <w:rsid w:val="00C07030"/>
    <w:rsid w:val="00C13211"/>
    <w:rsid w:val="00C13A37"/>
    <w:rsid w:val="00C13F73"/>
    <w:rsid w:val="00C15243"/>
    <w:rsid w:val="00C23F9A"/>
    <w:rsid w:val="00C25CAE"/>
    <w:rsid w:val="00C304C4"/>
    <w:rsid w:val="00C30F25"/>
    <w:rsid w:val="00C316E9"/>
    <w:rsid w:val="00C324F5"/>
    <w:rsid w:val="00C364D3"/>
    <w:rsid w:val="00C37927"/>
    <w:rsid w:val="00C40F6A"/>
    <w:rsid w:val="00C41B77"/>
    <w:rsid w:val="00C4301B"/>
    <w:rsid w:val="00C5491E"/>
    <w:rsid w:val="00C5649B"/>
    <w:rsid w:val="00C6278A"/>
    <w:rsid w:val="00C638E3"/>
    <w:rsid w:val="00C66513"/>
    <w:rsid w:val="00C67C91"/>
    <w:rsid w:val="00C70300"/>
    <w:rsid w:val="00C7055D"/>
    <w:rsid w:val="00C70AAE"/>
    <w:rsid w:val="00C70E29"/>
    <w:rsid w:val="00C71822"/>
    <w:rsid w:val="00C766F4"/>
    <w:rsid w:val="00C778EA"/>
    <w:rsid w:val="00C80CD5"/>
    <w:rsid w:val="00C843A8"/>
    <w:rsid w:val="00C84FD5"/>
    <w:rsid w:val="00C855EF"/>
    <w:rsid w:val="00C8775B"/>
    <w:rsid w:val="00C927E8"/>
    <w:rsid w:val="00C95442"/>
    <w:rsid w:val="00CA1893"/>
    <w:rsid w:val="00CA227D"/>
    <w:rsid w:val="00CA5B42"/>
    <w:rsid w:val="00CA5BF5"/>
    <w:rsid w:val="00CB14C3"/>
    <w:rsid w:val="00CB2920"/>
    <w:rsid w:val="00CC30FB"/>
    <w:rsid w:val="00CC326F"/>
    <w:rsid w:val="00CC706C"/>
    <w:rsid w:val="00CD36AF"/>
    <w:rsid w:val="00CD3F80"/>
    <w:rsid w:val="00CE2C98"/>
    <w:rsid w:val="00CF15A8"/>
    <w:rsid w:val="00CF2407"/>
    <w:rsid w:val="00CF249C"/>
    <w:rsid w:val="00CF4910"/>
    <w:rsid w:val="00CF5386"/>
    <w:rsid w:val="00CF72CC"/>
    <w:rsid w:val="00D050AF"/>
    <w:rsid w:val="00D06BA8"/>
    <w:rsid w:val="00D06D94"/>
    <w:rsid w:val="00D06E39"/>
    <w:rsid w:val="00D074B6"/>
    <w:rsid w:val="00D0764B"/>
    <w:rsid w:val="00D07DC3"/>
    <w:rsid w:val="00D13427"/>
    <w:rsid w:val="00D140E1"/>
    <w:rsid w:val="00D150F6"/>
    <w:rsid w:val="00D15BEB"/>
    <w:rsid w:val="00D15D69"/>
    <w:rsid w:val="00D17517"/>
    <w:rsid w:val="00D233BC"/>
    <w:rsid w:val="00D233DF"/>
    <w:rsid w:val="00D23B81"/>
    <w:rsid w:val="00D25AD6"/>
    <w:rsid w:val="00D26311"/>
    <w:rsid w:val="00D33952"/>
    <w:rsid w:val="00D33B99"/>
    <w:rsid w:val="00D33BD7"/>
    <w:rsid w:val="00D37595"/>
    <w:rsid w:val="00D37FE0"/>
    <w:rsid w:val="00D41472"/>
    <w:rsid w:val="00D44DC0"/>
    <w:rsid w:val="00D5126F"/>
    <w:rsid w:val="00D51E53"/>
    <w:rsid w:val="00D54E29"/>
    <w:rsid w:val="00D54E95"/>
    <w:rsid w:val="00D63D1B"/>
    <w:rsid w:val="00D6460B"/>
    <w:rsid w:val="00D64E50"/>
    <w:rsid w:val="00D66BF2"/>
    <w:rsid w:val="00D67BF4"/>
    <w:rsid w:val="00D67C45"/>
    <w:rsid w:val="00D735B8"/>
    <w:rsid w:val="00D746CA"/>
    <w:rsid w:val="00D77DDD"/>
    <w:rsid w:val="00D80980"/>
    <w:rsid w:val="00D82556"/>
    <w:rsid w:val="00D840F4"/>
    <w:rsid w:val="00D85DCF"/>
    <w:rsid w:val="00D868DB"/>
    <w:rsid w:val="00D953F5"/>
    <w:rsid w:val="00DA003F"/>
    <w:rsid w:val="00DA14EC"/>
    <w:rsid w:val="00DA223D"/>
    <w:rsid w:val="00DA24B4"/>
    <w:rsid w:val="00DA5424"/>
    <w:rsid w:val="00DA5ED0"/>
    <w:rsid w:val="00DA70CE"/>
    <w:rsid w:val="00DB117A"/>
    <w:rsid w:val="00DB17E4"/>
    <w:rsid w:val="00DB20E1"/>
    <w:rsid w:val="00DB294C"/>
    <w:rsid w:val="00DB5647"/>
    <w:rsid w:val="00DB5AB9"/>
    <w:rsid w:val="00DB617B"/>
    <w:rsid w:val="00DC1F23"/>
    <w:rsid w:val="00DC4E99"/>
    <w:rsid w:val="00DC515F"/>
    <w:rsid w:val="00DD2B41"/>
    <w:rsid w:val="00DD3EDA"/>
    <w:rsid w:val="00DD6D42"/>
    <w:rsid w:val="00DD7428"/>
    <w:rsid w:val="00DE0C79"/>
    <w:rsid w:val="00DE1F5D"/>
    <w:rsid w:val="00DE4399"/>
    <w:rsid w:val="00DF2308"/>
    <w:rsid w:val="00DF2BED"/>
    <w:rsid w:val="00DF32D9"/>
    <w:rsid w:val="00DF3E6E"/>
    <w:rsid w:val="00DF46D6"/>
    <w:rsid w:val="00DF58BC"/>
    <w:rsid w:val="00DF5C71"/>
    <w:rsid w:val="00DF790F"/>
    <w:rsid w:val="00E00681"/>
    <w:rsid w:val="00E02468"/>
    <w:rsid w:val="00E04D97"/>
    <w:rsid w:val="00E05F7F"/>
    <w:rsid w:val="00E0641F"/>
    <w:rsid w:val="00E06743"/>
    <w:rsid w:val="00E111C2"/>
    <w:rsid w:val="00E11325"/>
    <w:rsid w:val="00E14FAE"/>
    <w:rsid w:val="00E16E48"/>
    <w:rsid w:val="00E1789A"/>
    <w:rsid w:val="00E21BE0"/>
    <w:rsid w:val="00E23743"/>
    <w:rsid w:val="00E2471B"/>
    <w:rsid w:val="00E25E4D"/>
    <w:rsid w:val="00E26705"/>
    <w:rsid w:val="00E26BC3"/>
    <w:rsid w:val="00E31BD1"/>
    <w:rsid w:val="00E34003"/>
    <w:rsid w:val="00E369DC"/>
    <w:rsid w:val="00E41F98"/>
    <w:rsid w:val="00E42DA0"/>
    <w:rsid w:val="00E435F1"/>
    <w:rsid w:val="00E44DD6"/>
    <w:rsid w:val="00E460FC"/>
    <w:rsid w:val="00E46B2B"/>
    <w:rsid w:val="00E52D1D"/>
    <w:rsid w:val="00E52F11"/>
    <w:rsid w:val="00E539B0"/>
    <w:rsid w:val="00E53C1D"/>
    <w:rsid w:val="00E54DD8"/>
    <w:rsid w:val="00E576AF"/>
    <w:rsid w:val="00E57CF3"/>
    <w:rsid w:val="00E57D0A"/>
    <w:rsid w:val="00E60742"/>
    <w:rsid w:val="00E61139"/>
    <w:rsid w:val="00E62D0D"/>
    <w:rsid w:val="00E6441F"/>
    <w:rsid w:val="00E6773A"/>
    <w:rsid w:val="00E71642"/>
    <w:rsid w:val="00E723F8"/>
    <w:rsid w:val="00E73C9B"/>
    <w:rsid w:val="00E7644A"/>
    <w:rsid w:val="00E769DD"/>
    <w:rsid w:val="00E77A64"/>
    <w:rsid w:val="00E77C2C"/>
    <w:rsid w:val="00E80007"/>
    <w:rsid w:val="00E80BAE"/>
    <w:rsid w:val="00E83397"/>
    <w:rsid w:val="00E841F5"/>
    <w:rsid w:val="00E85210"/>
    <w:rsid w:val="00E85F2C"/>
    <w:rsid w:val="00E92082"/>
    <w:rsid w:val="00E937D8"/>
    <w:rsid w:val="00E93924"/>
    <w:rsid w:val="00E96789"/>
    <w:rsid w:val="00E97A5F"/>
    <w:rsid w:val="00E97A6E"/>
    <w:rsid w:val="00EA1CF4"/>
    <w:rsid w:val="00EA2BFE"/>
    <w:rsid w:val="00EA3658"/>
    <w:rsid w:val="00EA638F"/>
    <w:rsid w:val="00EA7FA9"/>
    <w:rsid w:val="00EB00BD"/>
    <w:rsid w:val="00EB3E19"/>
    <w:rsid w:val="00EB548E"/>
    <w:rsid w:val="00EB5B4E"/>
    <w:rsid w:val="00EB6889"/>
    <w:rsid w:val="00EB7AE3"/>
    <w:rsid w:val="00EB7C0E"/>
    <w:rsid w:val="00EC2B7C"/>
    <w:rsid w:val="00EC316B"/>
    <w:rsid w:val="00EC5C41"/>
    <w:rsid w:val="00EC66C7"/>
    <w:rsid w:val="00EC6A1B"/>
    <w:rsid w:val="00EC7101"/>
    <w:rsid w:val="00ED1179"/>
    <w:rsid w:val="00ED11C7"/>
    <w:rsid w:val="00ED6976"/>
    <w:rsid w:val="00EE0C49"/>
    <w:rsid w:val="00EE1A76"/>
    <w:rsid w:val="00EE1A85"/>
    <w:rsid w:val="00EE48D1"/>
    <w:rsid w:val="00EE5187"/>
    <w:rsid w:val="00EE642D"/>
    <w:rsid w:val="00EE689F"/>
    <w:rsid w:val="00EE78FA"/>
    <w:rsid w:val="00EF2608"/>
    <w:rsid w:val="00EF3FD9"/>
    <w:rsid w:val="00EF61E5"/>
    <w:rsid w:val="00EF66F7"/>
    <w:rsid w:val="00EF6840"/>
    <w:rsid w:val="00F00DE7"/>
    <w:rsid w:val="00F02B11"/>
    <w:rsid w:val="00F0586D"/>
    <w:rsid w:val="00F06D05"/>
    <w:rsid w:val="00F073A4"/>
    <w:rsid w:val="00F1212E"/>
    <w:rsid w:val="00F12AF8"/>
    <w:rsid w:val="00F30EE4"/>
    <w:rsid w:val="00F32B66"/>
    <w:rsid w:val="00F33637"/>
    <w:rsid w:val="00F33916"/>
    <w:rsid w:val="00F33BAB"/>
    <w:rsid w:val="00F34161"/>
    <w:rsid w:val="00F347EA"/>
    <w:rsid w:val="00F35B2D"/>
    <w:rsid w:val="00F37B19"/>
    <w:rsid w:val="00F4498E"/>
    <w:rsid w:val="00F46F97"/>
    <w:rsid w:val="00F501FA"/>
    <w:rsid w:val="00F52847"/>
    <w:rsid w:val="00F52A2A"/>
    <w:rsid w:val="00F545A7"/>
    <w:rsid w:val="00F54A0F"/>
    <w:rsid w:val="00F556CB"/>
    <w:rsid w:val="00F608E7"/>
    <w:rsid w:val="00F62A70"/>
    <w:rsid w:val="00F64DB4"/>
    <w:rsid w:val="00F66723"/>
    <w:rsid w:val="00F67764"/>
    <w:rsid w:val="00F67AD4"/>
    <w:rsid w:val="00F67F47"/>
    <w:rsid w:val="00F70747"/>
    <w:rsid w:val="00F7114B"/>
    <w:rsid w:val="00F72206"/>
    <w:rsid w:val="00F7286B"/>
    <w:rsid w:val="00F738FA"/>
    <w:rsid w:val="00F745A7"/>
    <w:rsid w:val="00F8354E"/>
    <w:rsid w:val="00F86BBC"/>
    <w:rsid w:val="00F87051"/>
    <w:rsid w:val="00F87BA6"/>
    <w:rsid w:val="00F90776"/>
    <w:rsid w:val="00F90F75"/>
    <w:rsid w:val="00F929B2"/>
    <w:rsid w:val="00F92FF5"/>
    <w:rsid w:val="00F974FF"/>
    <w:rsid w:val="00FA12D2"/>
    <w:rsid w:val="00FA2839"/>
    <w:rsid w:val="00FA2D1F"/>
    <w:rsid w:val="00FA7128"/>
    <w:rsid w:val="00FB0E62"/>
    <w:rsid w:val="00FB2449"/>
    <w:rsid w:val="00FB3F8B"/>
    <w:rsid w:val="00FB6012"/>
    <w:rsid w:val="00FB77CA"/>
    <w:rsid w:val="00FC00A6"/>
    <w:rsid w:val="00FC5B1C"/>
    <w:rsid w:val="00FD0E92"/>
    <w:rsid w:val="00FD1AB1"/>
    <w:rsid w:val="00FD3B4D"/>
    <w:rsid w:val="00FD5B81"/>
    <w:rsid w:val="00FD6D23"/>
    <w:rsid w:val="00FD7D9D"/>
    <w:rsid w:val="00FE738A"/>
    <w:rsid w:val="00FE7DAD"/>
    <w:rsid w:val="00FF37C1"/>
    <w:rsid w:val="00FF4987"/>
    <w:rsid w:val="00FF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4221E"/>
  <w15:chartTrackingRefBased/>
  <w15:docId w15:val="{12342D3A-E94F-468B-8DA5-1D2E49BF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2C3"/>
    <w:rPr>
      <w:rFonts w:ascii="Arial" w:hAnsi="Arial"/>
      <w:sz w:val="28"/>
      <w:lang w:eastAsia="en-US"/>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uiPriority w:val="99"/>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rsid w:val="008442C3"/>
    <w:rPr>
      <w:rFonts w:ascii="Arial" w:hAnsi="Arial"/>
      <w:b/>
      <w:kern w:val="32"/>
      <w:sz w:val="44"/>
    </w:rPr>
  </w:style>
  <w:style w:type="table" w:styleId="TableGrid">
    <w:name w:val="Table Grid"/>
    <w:basedOn w:val="TableNormal"/>
    <w:rsid w:val="0084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42C3"/>
    <w:pPr>
      <w:tabs>
        <w:tab w:val="right" w:leader="dot" w:pos="9016"/>
      </w:tabs>
      <w:spacing w:after="100"/>
    </w:pPr>
  </w:style>
  <w:style w:type="paragraph" w:styleId="TOC2">
    <w:name w:val="toc 2"/>
    <w:basedOn w:val="Normal"/>
    <w:next w:val="Normal"/>
    <w:autoRedefine/>
    <w:uiPriority w:val="39"/>
    <w:unhideWhenUsed/>
    <w:rsid w:val="008442C3"/>
    <w:pPr>
      <w:spacing w:after="100"/>
      <w:ind w:left="280"/>
    </w:pPr>
  </w:style>
  <w:style w:type="character" w:customStyle="1" w:styleId="Heading2Char">
    <w:name w:val="Heading 2 Char"/>
    <w:basedOn w:val="DefaultParagraphFont"/>
    <w:link w:val="Heading2"/>
    <w:uiPriority w:val="99"/>
    <w:rsid w:val="003E707E"/>
    <w:rPr>
      <w:rFonts w:ascii="Arial" w:hAnsi="Arial"/>
      <w:b/>
      <w:sz w:val="36"/>
      <w:lang w:eastAsia="en-US"/>
    </w:rPr>
  </w:style>
  <w:style w:type="character" w:customStyle="1" w:styleId="Heading3Char">
    <w:name w:val="Heading 3 Char"/>
    <w:basedOn w:val="DefaultParagraphFont"/>
    <w:link w:val="Heading3"/>
    <w:rsid w:val="003E707E"/>
    <w:rPr>
      <w:rFonts w:ascii="Arial" w:hAnsi="Arial"/>
      <w:b/>
      <w:sz w:val="32"/>
      <w:lang w:eastAsia="en-US"/>
    </w:rPr>
  </w:style>
  <w:style w:type="character" w:customStyle="1" w:styleId="Heading4Char">
    <w:name w:val="Heading 4 Char"/>
    <w:basedOn w:val="DefaultParagraphFont"/>
    <w:link w:val="Heading4"/>
    <w:rsid w:val="003E707E"/>
    <w:rPr>
      <w:rFonts w:ascii="Arial" w:hAnsi="Arial"/>
      <w:b/>
      <w:sz w:val="28"/>
      <w:lang w:eastAsia="en-US"/>
    </w:rPr>
  </w:style>
  <w:style w:type="paragraph" w:styleId="BalloonText">
    <w:name w:val="Balloon Text"/>
    <w:basedOn w:val="Normal"/>
    <w:link w:val="BalloonTextChar"/>
    <w:semiHidden/>
    <w:unhideWhenUsed/>
    <w:rsid w:val="00285B92"/>
    <w:rPr>
      <w:rFonts w:ascii="Segoe UI" w:hAnsi="Segoe UI" w:cs="Segoe UI"/>
      <w:sz w:val="18"/>
      <w:szCs w:val="18"/>
    </w:rPr>
  </w:style>
  <w:style w:type="character" w:customStyle="1" w:styleId="BalloonTextChar">
    <w:name w:val="Balloon Text Char"/>
    <w:basedOn w:val="DefaultParagraphFont"/>
    <w:link w:val="BalloonText"/>
    <w:semiHidden/>
    <w:rsid w:val="00285B92"/>
    <w:rPr>
      <w:rFonts w:ascii="Segoe UI" w:hAnsi="Segoe UI" w:cs="Segoe UI"/>
      <w:sz w:val="18"/>
      <w:szCs w:val="18"/>
      <w:lang w:eastAsia="en-US"/>
    </w:rPr>
  </w:style>
  <w:style w:type="paragraph" w:styleId="ListParagraph">
    <w:name w:val="List Paragraph"/>
    <w:basedOn w:val="Normal"/>
    <w:uiPriority w:val="34"/>
    <w:rsid w:val="00E25E4D"/>
    <w:pPr>
      <w:ind w:left="720"/>
      <w:contextualSpacing/>
    </w:pPr>
  </w:style>
  <w:style w:type="character" w:styleId="CommentReference">
    <w:name w:val="annotation reference"/>
    <w:basedOn w:val="DefaultParagraphFont"/>
    <w:semiHidden/>
    <w:unhideWhenUsed/>
    <w:rsid w:val="00DD7428"/>
    <w:rPr>
      <w:sz w:val="16"/>
      <w:szCs w:val="16"/>
    </w:rPr>
  </w:style>
  <w:style w:type="paragraph" w:styleId="CommentText">
    <w:name w:val="annotation text"/>
    <w:basedOn w:val="Normal"/>
    <w:link w:val="CommentTextChar"/>
    <w:semiHidden/>
    <w:unhideWhenUsed/>
    <w:rsid w:val="00DD7428"/>
    <w:rPr>
      <w:sz w:val="20"/>
    </w:rPr>
  </w:style>
  <w:style w:type="character" w:customStyle="1" w:styleId="CommentTextChar">
    <w:name w:val="Comment Text Char"/>
    <w:basedOn w:val="DefaultParagraphFont"/>
    <w:link w:val="CommentText"/>
    <w:semiHidden/>
    <w:rsid w:val="00DD7428"/>
    <w:rPr>
      <w:rFonts w:ascii="Arial" w:hAnsi="Arial"/>
      <w:lang w:eastAsia="en-US"/>
    </w:rPr>
  </w:style>
  <w:style w:type="paragraph" w:styleId="CommentSubject">
    <w:name w:val="annotation subject"/>
    <w:basedOn w:val="CommentText"/>
    <w:next w:val="CommentText"/>
    <w:link w:val="CommentSubjectChar"/>
    <w:semiHidden/>
    <w:unhideWhenUsed/>
    <w:rsid w:val="00DD7428"/>
    <w:rPr>
      <w:b/>
      <w:bCs/>
    </w:rPr>
  </w:style>
  <w:style w:type="character" w:customStyle="1" w:styleId="CommentSubjectChar">
    <w:name w:val="Comment Subject Char"/>
    <w:basedOn w:val="CommentTextChar"/>
    <w:link w:val="CommentSubject"/>
    <w:semiHidden/>
    <w:rsid w:val="00DD742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9368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nib.org.uk/professionals/knowledge-and-research-hub/research-reports/education-resear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D4BAEE6CB5DD44B1E681B8526F89B2" ma:contentTypeVersion="6" ma:contentTypeDescription="Create a new document." ma:contentTypeScope="" ma:versionID="58b987a6b3bdc08faa57daf6ed073742">
  <xsd:schema xmlns:xsd="http://www.w3.org/2001/XMLSchema" xmlns:xs="http://www.w3.org/2001/XMLSchema" xmlns:p="http://schemas.microsoft.com/office/2006/metadata/properties" xmlns:ns2="fae345b2-99e3-4556-ae3e-0d7aff01b711" xmlns:ns3="ce0755c2-a059-4ab1-89a9-6a03ab3faaa4" targetNamespace="http://schemas.microsoft.com/office/2006/metadata/properties" ma:root="true" ma:fieldsID="39e01f6368386cdca1548bb36b4d318c" ns2:_="" ns3:_="">
    <xsd:import namespace="fae345b2-99e3-4556-ae3e-0d7aff01b711"/>
    <xsd:import namespace="ce0755c2-a059-4ab1-89a9-6a03ab3faa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345b2-99e3-4556-ae3e-0d7aff01b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755c2-a059-4ab1-89a9-6a03ab3faa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e0755c2-a059-4ab1-89a9-6a03ab3faaa4">
      <UserInfo>
        <DisplayName>Caireen Sutherland</DisplayName>
        <AccountId>12</AccountId>
        <AccountType/>
      </UserInfo>
      <UserInfo>
        <DisplayName>Sarah Holton</DisplayName>
        <AccountId>13</AccountId>
        <AccountType/>
      </UserInfo>
      <UserInfo>
        <DisplayName>Emma Edwards</DisplayName>
        <AccountId>7</AccountId>
        <AccountType/>
      </UserInfo>
      <UserInfo>
        <DisplayName>Lisa Hughes</DisplayName>
        <AccountId>20</AccountId>
        <AccountType/>
      </UserInfo>
      <UserInfo>
        <DisplayName>Kirsty Callingham</DisplayName>
        <AccountId>21</AccountId>
        <AccountType/>
      </UserInfo>
      <UserInfo>
        <DisplayName>John Dixon</DisplayName>
        <AccountId>22</AccountId>
        <AccountType/>
      </UserInfo>
      <UserInfo>
        <DisplayName>Emily Marr</DisplayName>
        <AccountId>23</AccountId>
        <AccountType/>
      </UserInfo>
      <UserInfo>
        <DisplayName>Sarah Lambert</DisplayName>
        <AccountId>24</AccountId>
        <AccountType/>
      </UserInfo>
    </SharedWithUsers>
  </documentManagement>
</p:properties>
</file>

<file path=customXml/itemProps1.xml><?xml version="1.0" encoding="utf-8"?>
<ds:datastoreItem xmlns:ds="http://schemas.openxmlformats.org/officeDocument/2006/customXml" ds:itemID="{35C15854-C999-4B52-88C0-A4E2FB8760D0}">
  <ds:schemaRefs>
    <ds:schemaRef ds:uri="http://schemas.openxmlformats.org/officeDocument/2006/bibliography"/>
  </ds:schemaRefs>
</ds:datastoreItem>
</file>

<file path=customXml/itemProps2.xml><?xml version="1.0" encoding="utf-8"?>
<ds:datastoreItem xmlns:ds="http://schemas.openxmlformats.org/officeDocument/2006/customXml" ds:itemID="{9074F354-4F72-43D8-97D1-E94A5670C067}"/>
</file>

<file path=customXml/itemProps3.xml><?xml version="1.0" encoding="utf-8"?>
<ds:datastoreItem xmlns:ds="http://schemas.openxmlformats.org/officeDocument/2006/customXml" ds:itemID="{F5210E02-7931-4221-919C-12E5D206E564}">
  <ds:schemaRefs>
    <ds:schemaRef ds:uri="http://schemas.microsoft.com/sharepoint/v3/contenttype/forms"/>
  </ds:schemaRefs>
</ds:datastoreItem>
</file>

<file path=customXml/itemProps4.xml><?xml version="1.0" encoding="utf-8"?>
<ds:datastoreItem xmlns:ds="http://schemas.openxmlformats.org/officeDocument/2006/customXml" ds:itemID="{7F8C11C1-F354-4000-A463-77B4CBD2E208}">
  <ds:schemaRefs>
    <ds:schemaRef ds:uri="http://schemas.microsoft.com/office/2006/metadata/properties"/>
    <ds:schemaRef ds:uri="http://schemas.microsoft.com/office/infopath/2007/PartnerControls"/>
    <ds:schemaRef ds:uri="e5a6a160-f920-4954-8845-b0e0e0e85fa3"/>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20910</CharactersWithSpaces>
  <SharedDoc>false</SharedDoc>
  <HLinks>
    <vt:vector size="66" baseType="variant">
      <vt:variant>
        <vt:i4>262210</vt:i4>
      </vt:variant>
      <vt:variant>
        <vt:i4>63</vt:i4>
      </vt:variant>
      <vt:variant>
        <vt:i4>0</vt:i4>
      </vt:variant>
      <vt:variant>
        <vt:i4>5</vt:i4>
      </vt:variant>
      <vt:variant>
        <vt:lpwstr>https://www.rnib.org.uk/professionals/knowledge-and-research-hub/research-reports/education-research</vt:lpwstr>
      </vt:variant>
      <vt:variant>
        <vt:lpwstr/>
      </vt:variant>
      <vt:variant>
        <vt:i4>1245234</vt:i4>
      </vt:variant>
      <vt:variant>
        <vt:i4>56</vt:i4>
      </vt:variant>
      <vt:variant>
        <vt:i4>0</vt:i4>
      </vt:variant>
      <vt:variant>
        <vt:i4>5</vt:i4>
      </vt:variant>
      <vt:variant>
        <vt:lpwstr/>
      </vt:variant>
      <vt:variant>
        <vt:lpwstr>_Toc63761425</vt:lpwstr>
      </vt:variant>
      <vt:variant>
        <vt:i4>1179698</vt:i4>
      </vt:variant>
      <vt:variant>
        <vt:i4>50</vt:i4>
      </vt:variant>
      <vt:variant>
        <vt:i4>0</vt:i4>
      </vt:variant>
      <vt:variant>
        <vt:i4>5</vt:i4>
      </vt:variant>
      <vt:variant>
        <vt:lpwstr/>
      </vt:variant>
      <vt:variant>
        <vt:lpwstr>_Toc63761424</vt:lpwstr>
      </vt:variant>
      <vt:variant>
        <vt:i4>1376306</vt:i4>
      </vt:variant>
      <vt:variant>
        <vt:i4>44</vt:i4>
      </vt:variant>
      <vt:variant>
        <vt:i4>0</vt:i4>
      </vt:variant>
      <vt:variant>
        <vt:i4>5</vt:i4>
      </vt:variant>
      <vt:variant>
        <vt:lpwstr/>
      </vt:variant>
      <vt:variant>
        <vt:lpwstr>_Toc63761423</vt:lpwstr>
      </vt:variant>
      <vt:variant>
        <vt:i4>1310770</vt:i4>
      </vt:variant>
      <vt:variant>
        <vt:i4>38</vt:i4>
      </vt:variant>
      <vt:variant>
        <vt:i4>0</vt:i4>
      </vt:variant>
      <vt:variant>
        <vt:i4>5</vt:i4>
      </vt:variant>
      <vt:variant>
        <vt:lpwstr/>
      </vt:variant>
      <vt:variant>
        <vt:lpwstr>_Toc63761422</vt:lpwstr>
      </vt:variant>
      <vt:variant>
        <vt:i4>1507378</vt:i4>
      </vt:variant>
      <vt:variant>
        <vt:i4>32</vt:i4>
      </vt:variant>
      <vt:variant>
        <vt:i4>0</vt:i4>
      </vt:variant>
      <vt:variant>
        <vt:i4>5</vt:i4>
      </vt:variant>
      <vt:variant>
        <vt:lpwstr/>
      </vt:variant>
      <vt:variant>
        <vt:lpwstr>_Toc63761421</vt:lpwstr>
      </vt:variant>
      <vt:variant>
        <vt:i4>1441842</vt:i4>
      </vt:variant>
      <vt:variant>
        <vt:i4>26</vt:i4>
      </vt:variant>
      <vt:variant>
        <vt:i4>0</vt:i4>
      </vt:variant>
      <vt:variant>
        <vt:i4>5</vt:i4>
      </vt:variant>
      <vt:variant>
        <vt:lpwstr/>
      </vt:variant>
      <vt:variant>
        <vt:lpwstr>_Toc63761420</vt:lpwstr>
      </vt:variant>
      <vt:variant>
        <vt:i4>2031665</vt:i4>
      </vt:variant>
      <vt:variant>
        <vt:i4>20</vt:i4>
      </vt:variant>
      <vt:variant>
        <vt:i4>0</vt:i4>
      </vt:variant>
      <vt:variant>
        <vt:i4>5</vt:i4>
      </vt:variant>
      <vt:variant>
        <vt:lpwstr/>
      </vt:variant>
      <vt:variant>
        <vt:lpwstr>_Toc63761419</vt:lpwstr>
      </vt:variant>
      <vt:variant>
        <vt:i4>1966129</vt:i4>
      </vt:variant>
      <vt:variant>
        <vt:i4>14</vt:i4>
      </vt:variant>
      <vt:variant>
        <vt:i4>0</vt:i4>
      </vt:variant>
      <vt:variant>
        <vt:i4>5</vt:i4>
      </vt:variant>
      <vt:variant>
        <vt:lpwstr/>
      </vt:variant>
      <vt:variant>
        <vt:lpwstr>_Toc63761418</vt:lpwstr>
      </vt:variant>
      <vt:variant>
        <vt:i4>1114161</vt:i4>
      </vt:variant>
      <vt:variant>
        <vt:i4>8</vt:i4>
      </vt:variant>
      <vt:variant>
        <vt:i4>0</vt:i4>
      </vt:variant>
      <vt:variant>
        <vt:i4>5</vt:i4>
      </vt:variant>
      <vt:variant>
        <vt:lpwstr/>
      </vt:variant>
      <vt:variant>
        <vt:lpwstr>_Toc63761417</vt:lpwstr>
      </vt:variant>
      <vt:variant>
        <vt:i4>1048625</vt:i4>
      </vt:variant>
      <vt:variant>
        <vt:i4>2</vt:i4>
      </vt:variant>
      <vt:variant>
        <vt:i4>0</vt:i4>
      </vt:variant>
      <vt:variant>
        <vt:i4>5</vt:i4>
      </vt:variant>
      <vt:variant>
        <vt:lpwstr/>
      </vt:variant>
      <vt:variant>
        <vt:lpwstr>_Toc63761416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 Bhangoo</dc:creator>
  <cp:keywords/>
  <dc:description/>
  <cp:lastModifiedBy>Jas Bhangoo</cp:lastModifiedBy>
  <cp:revision>9</cp:revision>
  <dcterms:created xsi:type="dcterms:W3CDTF">2021-02-16T14:56:00Z</dcterms:created>
  <dcterms:modified xsi:type="dcterms:W3CDTF">2021-02-16T15:36:00Z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0x010100A2D4BAEE6CB5DD44B1E681B8526F89B2</vt:lpwstr>
  </property>
</Properties>
</file>