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3E3CF" w14:textId="3E715FA4" w:rsidR="00DF5E85" w:rsidRPr="008B6B56" w:rsidRDefault="002C78C3" w:rsidP="00B915C1">
      <w:pPr>
        <w:pStyle w:val="Heading10"/>
      </w:pPr>
      <w:r>
        <w:t>How the APPG on E</w:t>
      </w:r>
      <w:bookmarkStart w:id="0" w:name="_GoBack"/>
      <w:bookmarkEnd w:id="0"/>
      <w:r>
        <w:t xml:space="preserve">ye Health and Visual Impairment conducted the </w:t>
      </w:r>
      <w:r w:rsidR="6093ABFA">
        <w:t xml:space="preserve">Inquiry </w:t>
      </w:r>
      <w:r w:rsidR="6093ABFA" w:rsidRPr="6093ABFA">
        <w:rPr>
          <w:rFonts w:eastAsia="Arial"/>
        </w:rPr>
        <w:t>into capacity problems in NHS eye care services in England</w:t>
      </w:r>
    </w:p>
    <w:p w14:paraId="14F49C7E" w14:textId="77777777" w:rsidR="008A0742" w:rsidRPr="00D01C04" w:rsidRDefault="008A0742" w:rsidP="003E57E1">
      <w:pPr>
        <w:rPr>
          <w:rFonts w:cs="Arial"/>
          <w:color w:val="000000"/>
          <w:szCs w:val="28"/>
          <w:highlight w:val="cyan"/>
        </w:rPr>
      </w:pPr>
    </w:p>
    <w:p w14:paraId="4D21A652" w14:textId="719D0B2C" w:rsidR="008A0742" w:rsidRPr="00EF5297" w:rsidRDefault="6093ABFA" w:rsidP="6093ABFA">
      <w:pPr>
        <w:pStyle w:val="Heading2"/>
        <w:rPr>
          <w:color w:val="000000"/>
        </w:rPr>
      </w:pPr>
      <w:r>
        <w:t>Introduction</w:t>
      </w:r>
    </w:p>
    <w:p w14:paraId="6C8E81BB" w14:textId="7A713CDE" w:rsidR="00311E22" w:rsidRDefault="002C6F1A" w:rsidP="6093ABFA">
      <w:pPr>
        <w:rPr>
          <w:rFonts w:cs="Arial"/>
        </w:rPr>
      </w:pPr>
      <w:r w:rsidRPr="6093ABFA">
        <w:rPr>
          <w:rFonts w:cs="Arial"/>
        </w:rPr>
        <w:t>1</w:t>
      </w:r>
      <w:r w:rsidR="00311E22" w:rsidRPr="6093ABFA">
        <w:rPr>
          <w:rFonts w:cs="Arial"/>
          <w:color w:val="000000"/>
        </w:rPr>
        <w:t>.1</w:t>
      </w:r>
      <w:r w:rsidR="00311E22" w:rsidRPr="00DA4549">
        <w:rPr>
          <w:rFonts w:cs="Arial"/>
          <w:color w:val="000000"/>
          <w:szCs w:val="28"/>
        </w:rPr>
        <w:tab/>
      </w:r>
      <w:r w:rsidR="00311E22" w:rsidRPr="6093ABFA">
        <w:rPr>
          <w:rFonts w:cs="Arial"/>
          <w:color w:val="000000"/>
        </w:rPr>
        <w:t xml:space="preserve">The </w:t>
      </w:r>
      <w:r w:rsidR="000A3B6A" w:rsidRPr="6093ABFA">
        <w:rPr>
          <w:rFonts w:cs="Arial"/>
          <w:color w:val="000000"/>
        </w:rPr>
        <w:t xml:space="preserve">purpose of the </w:t>
      </w:r>
      <w:r w:rsidR="000A3B6A" w:rsidRPr="00B758E1">
        <w:t xml:space="preserve">All-Party Parliamentary Group (APPG) on Eye Health and Visual </w:t>
      </w:r>
      <w:r w:rsidR="00FA75F0" w:rsidRPr="00B758E1">
        <w:t>Impairmen</w:t>
      </w:r>
      <w:r w:rsidR="00FA75F0">
        <w:t>t</w:t>
      </w:r>
      <w:r w:rsidR="000A3B6A">
        <w:t xml:space="preserve"> </w:t>
      </w:r>
      <w:r w:rsidR="00311E22" w:rsidRPr="6093ABFA">
        <w:rPr>
          <w:rFonts w:cs="Arial"/>
          <w:color w:val="000000"/>
        </w:rPr>
        <w:t>is t</w:t>
      </w:r>
      <w:r w:rsidR="00311E22" w:rsidRPr="00DA4549">
        <w:rPr>
          <w:rFonts w:cs="Arial"/>
          <w:color w:val="000000"/>
        </w:rPr>
        <w:t xml:space="preserve">o </w:t>
      </w:r>
      <w:r w:rsidR="00311E22" w:rsidRPr="00DA4549">
        <w:rPr>
          <w:rFonts w:cs="Arial"/>
        </w:rPr>
        <w:t xml:space="preserve">inform and educate parliamentarians about the importance of high quality eye care for the prevention of eye disease, sight loss and blindness and for the eye health of the nation; and to promote better understanding of visual impairment and greater social inclusion. </w:t>
      </w:r>
      <w:r w:rsidR="00B73D25">
        <w:rPr>
          <w:rFonts w:cs="Arial"/>
        </w:rPr>
        <w:t xml:space="preserve">All-Party Parliamentary Groups are informal cross-party groups. </w:t>
      </w:r>
    </w:p>
    <w:p w14:paraId="1F84E57E" w14:textId="77777777" w:rsidR="00EC445E" w:rsidRPr="00DA4549" w:rsidRDefault="00EC445E" w:rsidP="00311E22">
      <w:pPr>
        <w:rPr>
          <w:rFonts w:cs="Arial"/>
        </w:rPr>
      </w:pPr>
    </w:p>
    <w:p w14:paraId="69E7B6AA" w14:textId="394908DD" w:rsidR="00215AF8" w:rsidRPr="001F0E89" w:rsidRDefault="00A52DE8" w:rsidP="6093ABFA">
      <w:pPr>
        <w:rPr>
          <w:rFonts w:eastAsia="Arial"/>
        </w:rPr>
      </w:pPr>
      <w:r w:rsidRPr="6093ABFA">
        <w:rPr>
          <w:rFonts w:cs="Arial"/>
          <w:color w:val="000000"/>
        </w:rPr>
        <w:t>1.</w:t>
      </w:r>
      <w:r w:rsidR="00390071" w:rsidRPr="6093ABFA">
        <w:rPr>
          <w:rFonts w:cs="Arial"/>
          <w:color w:val="000000"/>
        </w:rPr>
        <w:t>2</w:t>
      </w:r>
      <w:r w:rsidRPr="00B758E1">
        <w:rPr>
          <w:rFonts w:cs="Arial"/>
          <w:color w:val="000000"/>
          <w:szCs w:val="28"/>
        </w:rPr>
        <w:tab/>
      </w:r>
      <w:r w:rsidR="000A3B6A" w:rsidRPr="6093ABFA">
        <w:rPr>
          <w:rFonts w:cs="Arial"/>
          <w:color w:val="000000"/>
        </w:rPr>
        <w:t>Our</w:t>
      </w:r>
      <w:r w:rsidR="00B758E1" w:rsidRPr="6093ABFA">
        <w:rPr>
          <w:rFonts w:cs="Arial"/>
          <w:color w:val="000000"/>
        </w:rPr>
        <w:t xml:space="preserve"> report </w:t>
      </w:r>
      <w:r w:rsidR="00FC52CE" w:rsidRPr="6093ABFA">
        <w:rPr>
          <w:rFonts w:cs="Arial"/>
          <w:color w:val="000000"/>
        </w:rPr>
        <w:t>“</w:t>
      </w:r>
      <w:r w:rsidR="00FC52CE" w:rsidRPr="00B758E1">
        <w:t>See the light: Improving capacity in NHS eye care in England”</w:t>
      </w:r>
      <w:r w:rsidR="00D64BED" w:rsidRPr="00B758E1">
        <w:t xml:space="preserve"> (June 2018)</w:t>
      </w:r>
      <w:r w:rsidR="00FC52CE" w:rsidRPr="00B758E1">
        <w:t xml:space="preserve">, </w:t>
      </w:r>
      <w:r w:rsidR="00FB0476">
        <w:t xml:space="preserve">which is available at </w:t>
      </w:r>
      <w:hyperlink r:id="rId11" w:history="1">
        <w:r w:rsidR="00FB0476">
          <w:rPr>
            <w:rStyle w:val="Hyperlink"/>
          </w:rPr>
          <w:t>www.rnib.org.uk/appginquiry</w:t>
        </w:r>
      </w:hyperlink>
      <w:r w:rsidR="00FB0476">
        <w:t xml:space="preserve">, </w:t>
      </w:r>
      <w:r w:rsidR="00FC52CE" w:rsidRPr="00B758E1">
        <w:rPr>
          <w:rFonts w:eastAsia="Arial"/>
        </w:rPr>
        <w:t xml:space="preserve">highlights the findings and recommendations from our </w:t>
      </w:r>
      <w:r w:rsidR="00B73D25">
        <w:rPr>
          <w:rFonts w:eastAsia="Arial"/>
        </w:rPr>
        <w:t>I</w:t>
      </w:r>
      <w:r w:rsidR="00FC52CE" w:rsidRPr="00B758E1">
        <w:rPr>
          <w:rFonts w:eastAsia="Arial"/>
        </w:rPr>
        <w:t>nquiry into capacity problems in NHS eye care services in England</w:t>
      </w:r>
      <w:r w:rsidR="00FB0476">
        <w:rPr>
          <w:rFonts w:eastAsia="Arial"/>
        </w:rPr>
        <w:t>.</w:t>
      </w:r>
    </w:p>
    <w:p w14:paraId="306E4AEF" w14:textId="22FCE134" w:rsidR="00FC52CE" w:rsidRPr="001F0E89" w:rsidRDefault="00FC52CE" w:rsidP="0074471A"/>
    <w:p w14:paraId="2A4132D0" w14:textId="5FEDACAE" w:rsidR="00C46CD0" w:rsidRPr="00683A96" w:rsidRDefault="00390071" w:rsidP="00B73D25">
      <w:pPr>
        <w:rPr>
          <w:color w:val="000000"/>
          <w:lang w:eastAsia="en-US"/>
        </w:rPr>
      </w:pPr>
      <w:r w:rsidRPr="00683A96">
        <w:rPr>
          <w:rFonts w:eastAsia="Arial"/>
        </w:rPr>
        <w:t>1.3</w:t>
      </w:r>
      <w:r w:rsidR="00675F61" w:rsidRPr="00683A96">
        <w:rPr>
          <w:rFonts w:eastAsia="Arial"/>
        </w:rPr>
        <w:tab/>
      </w:r>
      <w:r w:rsidR="00C46CD0" w:rsidRPr="00683A96">
        <w:rPr>
          <w:rFonts w:eastAsia="Arial"/>
        </w:rPr>
        <w:t xml:space="preserve">We undertook our Inquiry because </w:t>
      </w:r>
      <w:r w:rsidR="00A17CEE" w:rsidRPr="00683A96">
        <w:rPr>
          <w:rFonts w:eastAsia="Arial"/>
        </w:rPr>
        <w:t xml:space="preserve">we were concerned about </w:t>
      </w:r>
      <w:r w:rsidR="00C46CD0" w:rsidRPr="00683A96">
        <w:rPr>
          <w:rFonts w:eastAsia="Arial"/>
        </w:rPr>
        <w:t xml:space="preserve">a growing </w:t>
      </w:r>
      <w:r w:rsidR="00675F61" w:rsidRPr="00683A96">
        <w:rPr>
          <w:rFonts w:eastAsia="Arial"/>
        </w:rPr>
        <w:t xml:space="preserve">problem of patients experiencing irreversible sight loss due to </w:t>
      </w:r>
      <w:r w:rsidR="00B73D25">
        <w:rPr>
          <w:rFonts w:eastAsia="Arial"/>
        </w:rPr>
        <w:t xml:space="preserve">delayed and cancelled appointments. </w:t>
      </w:r>
      <w:r w:rsidR="00C46CD0" w:rsidRPr="00683A96">
        <w:rPr>
          <w:rFonts w:eastAsia="Arial" w:cs="Arial"/>
        </w:rPr>
        <w:t>The</w:t>
      </w:r>
      <w:r w:rsidR="00C46CD0" w:rsidRPr="00683A96">
        <w:rPr>
          <w:rFonts w:eastAsia="Arial"/>
        </w:rPr>
        <w:t xml:space="preserve"> 2017 British Ophthalmological Surveillance Unit (BOSU) study of all UK consultant ophthalmologists</w:t>
      </w:r>
      <w:r w:rsidR="006F5E5D">
        <w:rPr>
          <w:rFonts w:eastAsia="Arial"/>
        </w:rPr>
        <w:t>,</w:t>
      </w:r>
      <w:r w:rsidR="00C46CD0" w:rsidRPr="00683A96">
        <w:rPr>
          <w:rFonts w:eastAsia="Arial"/>
        </w:rPr>
        <w:t xml:space="preserve"> found that up to 22 patients per month were suffering permanent and severe visual loss due to health service initiated delays.</w:t>
      </w:r>
      <w:r w:rsidR="00C46CD0" w:rsidRPr="00683A96">
        <w:rPr>
          <w:rFonts w:cs="Arial"/>
          <w:color w:val="000000"/>
        </w:rPr>
        <w:t>[</w:t>
      </w:r>
      <w:r w:rsidR="00C46CD0" w:rsidRPr="001447DE">
        <w:rPr>
          <w:rStyle w:val="EndnoteReference"/>
          <w:rFonts w:cs="Arial"/>
          <w:b/>
          <w:color w:val="000000"/>
          <w:vertAlign w:val="baseline"/>
          <w:lang w:val="en-US"/>
        </w:rPr>
        <w:endnoteReference w:id="2"/>
      </w:r>
      <w:r w:rsidR="00C46CD0" w:rsidRPr="00683A96">
        <w:rPr>
          <w:rFonts w:cs="Arial"/>
          <w:color w:val="000000"/>
        </w:rPr>
        <w:t xml:space="preserve">] </w:t>
      </w:r>
      <w:r w:rsidR="00683A96" w:rsidRPr="00683A96">
        <w:rPr>
          <w:rFonts w:cs="Arial"/>
          <w:color w:val="000000"/>
        </w:rPr>
        <w:t xml:space="preserve">Research published by the </w:t>
      </w:r>
      <w:r w:rsidR="00C46CD0" w:rsidRPr="00683A96">
        <w:rPr>
          <w:rFonts w:eastAsia="Arial"/>
        </w:rPr>
        <w:t>R</w:t>
      </w:r>
      <w:r w:rsidR="00544444" w:rsidRPr="00683A96">
        <w:rPr>
          <w:rFonts w:eastAsia="Arial"/>
        </w:rPr>
        <w:t xml:space="preserve">oyal </w:t>
      </w:r>
      <w:r w:rsidR="00C46CD0" w:rsidRPr="00683A96">
        <w:rPr>
          <w:rFonts w:eastAsia="Arial"/>
        </w:rPr>
        <w:t>N</w:t>
      </w:r>
      <w:r w:rsidR="00544444" w:rsidRPr="00683A96">
        <w:rPr>
          <w:rFonts w:eastAsia="Arial"/>
        </w:rPr>
        <w:t xml:space="preserve">ational </w:t>
      </w:r>
      <w:r w:rsidR="00C46CD0" w:rsidRPr="00683A96">
        <w:rPr>
          <w:rFonts w:eastAsia="Arial"/>
        </w:rPr>
        <w:t>I</w:t>
      </w:r>
      <w:r w:rsidR="00544444" w:rsidRPr="00683A96">
        <w:rPr>
          <w:rFonts w:eastAsia="Arial"/>
        </w:rPr>
        <w:t xml:space="preserve">nstitute of </w:t>
      </w:r>
      <w:r w:rsidR="00C46CD0" w:rsidRPr="00683A96">
        <w:rPr>
          <w:rFonts w:eastAsia="Arial"/>
        </w:rPr>
        <w:t>B</w:t>
      </w:r>
      <w:r w:rsidR="00544444" w:rsidRPr="00683A96">
        <w:rPr>
          <w:rFonts w:eastAsia="Arial"/>
        </w:rPr>
        <w:t>lind People (RNIB)</w:t>
      </w:r>
      <w:r w:rsidR="00C46CD0" w:rsidRPr="00683A96">
        <w:rPr>
          <w:rFonts w:eastAsia="Arial"/>
        </w:rPr>
        <w:t xml:space="preserve"> had </w:t>
      </w:r>
      <w:r w:rsidR="00C46CD0" w:rsidRPr="00683A96">
        <w:rPr>
          <w:rFonts w:cs="Arial"/>
          <w:color w:val="000000"/>
        </w:rPr>
        <w:t>indicated that people were losing their sight unnecessarily because UK eye clinics were not keeping up with demand[</w:t>
      </w:r>
      <w:r w:rsidR="00C46CD0" w:rsidRPr="001447DE">
        <w:rPr>
          <w:rStyle w:val="EndnoteReference"/>
          <w:rFonts w:cs="Arial"/>
          <w:b/>
          <w:vertAlign w:val="baseline"/>
        </w:rPr>
        <w:endnoteReference w:id="3"/>
      </w:r>
      <w:r w:rsidR="00B73D25">
        <w:rPr>
          <w:rFonts w:cs="Arial"/>
          <w:color w:val="000000"/>
        </w:rPr>
        <w:t>]</w:t>
      </w:r>
      <w:r w:rsidR="00C46CD0" w:rsidRPr="00683A96">
        <w:rPr>
          <w:rFonts w:cs="Arial"/>
          <w:color w:val="000000"/>
        </w:rPr>
        <w:t>.</w:t>
      </w:r>
      <w:r w:rsidR="006F5E5D">
        <w:rPr>
          <w:rFonts w:cs="Arial"/>
          <w:color w:val="000000"/>
        </w:rPr>
        <w:t xml:space="preserve"> </w:t>
      </w:r>
    </w:p>
    <w:p w14:paraId="77971E62" w14:textId="1997B0F5" w:rsidR="00FC52CE" w:rsidRPr="00D125A6" w:rsidRDefault="00FC52CE" w:rsidP="003E57E1">
      <w:pPr>
        <w:rPr>
          <w:rFonts w:cs="Arial"/>
          <w:color w:val="000000"/>
          <w:szCs w:val="28"/>
          <w:highlight w:val="cyan"/>
        </w:rPr>
      </w:pPr>
    </w:p>
    <w:p w14:paraId="49ECD587" w14:textId="6E8022DA" w:rsidR="002C6F1A" w:rsidRPr="00E94971" w:rsidRDefault="00390071" w:rsidP="00C94B87">
      <w:pPr>
        <w:rPr>
          <w:rFonts w:eastAsia="Arial"/>
        </w:rPr>
      </w:pPr>
      <w:r w:rsidRPr="00E94971">
        <w:rPr>
          <w:rFonts w:eastAsia="Arial"/>
        </w:rPr>
        <w:t>1.4</w:t>
      </w:r>
      <w:r w:rsidRPr="00E94971">
        <w:rPr>
          <w:rFonts w:eastAsia="Arial"/>
        </w:rPr>
        <w:tab/>
      </w:r>
      <w:r w:rsidR="002C6F1A" w:rsidRPr="00E94971">
        <w:rPr>
          <w:rFonts w:eastAsia="Arial"/>
        </w:rPr>
        <w:t xml:space="preserve">This paper </w:t>
      </w:r>
      <w:r w:rsidR="00C94B87">
        <w:rPr>
          <w:rFonts w:eastAsia="Arial"/>
        </w:rPr>
        <w:t>provides</w:t>
      </w:r>
      <w:r w:rsidR="002C6F1A" w:rsidRPr="00E94971">
        <w:rPr>
          <w:rFonts w:eastAsia="Arial"/>
        </w:rPr>
        <w:t xml:space="preserve"> an overview of </w:t>
      </w:r>
      <w:r w:rsidR="00C94B87">
        <w:rPr>
          <w:rFonts w:eastAsia="Arial"/>
        </w:rPr>
        <w:t xml:space="preserve">the Inquiry aims, objectives and scope, how evidence was collected and analysed. </w:t>
      </w:r>
    </w:p>
    <w:p w14:paraId="287F6F7E" w14:textId="77777777" w:rsidR="002C6F1A" w:rsidRPr="00D125A6" w:rsidRDefault="002C6F1A" w:rsidP="003E57E1">
      <w:pPr>
        <w:rPr>
          <w:rFonts w:cs="Arial"/>
          <w:color w:val="000000"/>
          <w:szCs w:val="28"/>
          <w:highlight w:val="cyan"/>
        </w:rPr>
      </w:pPr>
    </w:p>
    <w:p w14:paraId="0086E553" w14:textId="16A2E94D" w:rsidR="00924342" w:rsidRPr="00E94971" w:rsidRDefault="6093ABFA" w:rsidP="00B21453">
      <w:pPr>
        <w:pStyle w:val="Heading2"/>
      </w:pPr>
      <w:r w:rsidRPr="00E94971">
        <w:t xml:space="preserve">Resources and </w:t>
      </w:r>
      <w:r w:rsidR="00C53AC9">
        <w:t xml:space="preserve">expert </w:t>
      </w:r>
      <w:r w:rsidRPr="00E94971">
        <w:t>advice</w:t>
      </w:r>
    </w:p>
    <w:p w14:paraId="0FC75528" w14:textId="1966EB2F" w:rsidR="004906B2" w:rsidRDefault="00B84911" w:rsidP="00924342">
      <w:r>
        <w:t>2</w:t>
      </w:r>
      <w:r w:rsidR="0093577F" w:rsidRPr="00E94971">
        <w:t>.1</w:t>
      </w:r>
      <w:r w:rsidR="0093577F" w:rsidRPr="00E94971">
        <w:tab/>
      </w:r>
      <w:r w:rsidR="00924342" w:rsidRPr="00E94971">
        <w:t xml:space="preserve">RNIB and the Optical Confederation provide </w:t>
      </w:r>
      <w:r w:rsidR="000C0F59">
        <w:t>the secretariat to the</w:t>
      </w:r>
      <w:r w:rsidR="00924342" w:rsidRPr="00E94971">
        <w:t xml:space="preserve"> APPG. </w:t>
      </w:r>
      <w:r w:rsidR="002B4EDF" w:rsidRPr="00E94971">
        <w:t>W</w:t>
      </w:r>
      <w:r w:rsidR="00C16080" w:rsidRPr="00E94971">
        <w:t xml:space="preserve">e received additional support </w:t>
      </w:r>
      <w:r w:rsidR="00E94971">
        <w:t>for our Inquir</w:t>
      </w:r>
      <w:r w:rsidR="002B4EDF" w:rsidRPr="00E94971">
        <w:t xml:space="preserve">y </w:t>
      </w:r>
      <w:r w:rsidR="00C16080" w:rsidRPr="00E94971">
        <w:t xml:space="preserve">from </w:t>
      </w:r>
      <w:r w:rsidR="00924342" w:rsidRPr="00E94971">
        <w:t>an independent secretariat hosted by RNIB</w:t>
      </w:r>
      <w:r w:rsidR="002B4EDF" w:rsidRPr="00E94971">
        <w:t>. This was</w:t>
      </w:r>
      <w:r w:rsidR="000C0F59">
        <w:t xml:space="preserve"> in part</w:t>
      </w:r>
      <w:r w:rsidR="00C16080" w:rsidRPr="00E94971">
        <w:t xml:space="preserve"> </w:t>
      </w:r>
      <w:r w:rsidR="00924342" w:rsidRPr="00E94971">
        <w:lastRenderedPageBreak/>
        <w:t xml:space="preserve">funded by Bayer </w:t>
      </w:r>
      <w:r w:rsidR="00C94B87">
        <w:t xml:space="preserve">a pharmaceutical company who </w:t>
      </w:r>
      <w:r w:rsidR="00924342" w:rsidRPr="00E94971">
        <w:t xml:space="preserve">had no role in the development, scope or delivery of the Inquiry. </w:t>
      </w:r>
    </w:p>
    <w:p w14:paraId="5CE1343C" w14:textId="77777777" w:rsidR="004906B2" w:rsidRDefault="004906B2" w:rsidP="00924342"/>
    <w:p w14:paraId="5B78BFE8" w14:textId="3B2D7970" w:rsidR="00C94B87" w:rsidRDefault="004906B2" w:rsidP="0017641D">
      <w:r>
        <w:t>2.2</w:t>
      </w:r>
      <w:r>
        <w:tab/>
      </w:r>
      <w:r w:rsidR="0071031A">
        <w:t>A</w:t>
      </w:r>
      <w:r w:rsidR="0071031A" w:rsidRPr="00E94971">
        <w:t>n Expert Advisory Group</w:t>
      </w:r>
      <w:r w:rsidR="0071031A">
        <w:t xml:space="preserve"> </w:t>
      </w:r>
      <w:r w:rsidR="008C5B82">
        <w:t xml:space="preserve">provided </w:t>
      </w:r>
      <w:r w:rsidR="0071031A">
        <w:t xml:space="preserve">us </w:t>
      </w:r>
      <w:r w:rsidR="008C5B82">
        <w:t xml:space="preserve">with advice and </w:t>
      </w:r>
      <w:r w:rsidR="00C94B87">
        <w:t>guidance about the analysis of evidence and development of recommendations. The Expert Advisory Group included patients</w:t>
      </w:r>
      <w:r w:rsidR="00A77F4D">
        <w:t xml:space="preserve"> volunteering with the Macular Society,</w:t>
      </w:r>
      <w:r w:rsidR="00C94B87">
        <w:t xml:space="preserve"> </w:t>
      </w:r>
      <w:r w:rsidR="00CF42A4">
        <w:t>International Glaucoma Association (</w:t>
      </w:r>
      <w:r w:rsidR="00C94B87">
        <w:t>IGA</w:t>
      </w:r>
      <w:r w:rsidR="00CF42A4">
        <w:t>)</w:t>
      </w:r>
      <w:r w:rsidR="00A77F4D">
        <w:t xml:space="preserve"> and RNIB</w:t>
      </w:r>
      <w:r w:rsidR="00C94B87">
        <w:t xml:space="preserve">. It also included representatives from the College of Optometrists, Optical Confederation, Royal College of Ophthalmologists, Birmingham Focus, RNIB, Vision UK and NHS Alliance. </w:t>
      </w:r>
      <w:r w:rsidR="00A77F4D">
        <w:t xml:space="preserve">The membership of the group is shown in the Annex. </w:t>
      </w:r>
    </w:p>
    <w:p w14:paraId="0455376E" w14:textId="77777777" w:rsidR="00C94B87" w:rsidRDefault="00C94B87" w:rsidP="0017641D"/>
    <w:p w14:paraId="6FF40F83" w14:textId="74544A3C" w:rsidR="002A4940" w:rsidRPr="00824A06" w:rsidRDefault="6093ABFA" w:rsidP="0074471A">
      <w:pPr>
        <w:pStyle w:val="Heading2"/>
      </w:pPr>
      <w:r w:rsidRPr="00824A06">
        <w:t>Aims, objectives and scope</w:t>
      </w:r>
    </w:p>
    <w:p w14:paraId="45F17B21" w14:textId="3C5CD53D" w:rsidR="006B375F" w:rsidRPr="00824A06" w:rsidRDefault="008A5D08" w:rsidP="6093ABFA">
      <w:pPr>
        <w:rPr>
          <w:rFonts w:cs="Arial"/>
        </w:rPr>
      </w:pPr>
      <w:r w:rsidRPr="00824A06">
        <w:rPr>
          <w:rFonts w:cs="Arial"/>
        </w:rPr>
        <w:t>3</w:t>
      </w:r>
      <w:r w:rsidR="000A7801" w:rsidRPr="00824A06">
        <w:rPr>
          <w:rFonts w:cs="Arial"/>
        </w:rPr>
        <w:t>.1</w:t>
      </w:r>
      <w:r w:rsidR="006B375F" w:rsidRPr="00824A06">
        <w:rPr>
          <w:rFonts w:cs="Arial"/>
        </w:rPr>
        <w:tab/>
      </w:r>
      <w:r w:rsidR="00BC4742" w:rsidRPr="00824A06">
        <w:rPr>
          <w:rFonts w:cs="Arial"/>
        </w:rPr>
        <w:t xml:space="preserve">The aim of </w:t>
      </w:r>
      <w:r w:rsidR="008F313A" w:rsidRPr="00824A06">
        <w:rPr>
          <w:rFonts w:cs="Arial"/>
        </w:rPr>
        <w:t>the</w:t>
      </w:r>
      <w:r w:rsidR="00BC4742" w:rsidRPr="00824A06">
        <w:rPr>
          <w:rFonts w:cs="Arial"/>
        </w:rPr>
        <w:t xml:space="preserve"> Inquiry </w:t>
      </w:r>
      <w:r w:rsidR="008B6B56" w:rsidRPr="00824A06">
        <w:rPr>
          <w:rFonts w:cs="Arial"/>
        </w:rPr>
        <w:t>was</w:t>
      </w:r>
      <w:r w:rsidR="00BC4742" w:rsidRPr="00824A06">
        <w:rPr>
          <w:rFonts w:cs="Arial"/>
        </w:rPr>
        <w:t xml:space="preserve"> to investigate how </w:t>
      </w:r>
      <w:r w:rsidR="006B375F" w:rsidRPr="00824A06">
        <w:rPr>
          <w:rFonts w:cs="Arial"/>
        </w:rPr>
        <w:t>capacity problems in NHS eye care services can be addressed.</w:t>
      </w:r>
      <w:r w:rsidR="000A7801" w:rsidRPr="00824A06">
        <w:rPr>
          <w:rFonts w:cs="Arial"/>
        </w:rPr>
        <w:t xml:space="preserve"> </w:t>
      </w:r>
      <w:r w:rsidR="00BC4742" w:rsidRPr="00824A06">
        <w:rPr>
          <w:rFonts w:cs="Arial"/>
        </w:rPr>
        <w:t xml:space="preserve">Our </w:t>
      </w:r>
      <w:r w:rsidR="006B375F" w:rsidRPr="00824A06">
        <w:rPr>
          <w:rFonts w:cs="Arial"/>
        </w:rPr>
        <w:t xml:space="preserve">objective </w:t>
      </w:r>
      <w:r w:rsidR="008B6B56" w:rsidRPr="00824A06">
        <w:rPr>
          <w:rFonts w:cs="Arial"/>
        </w:rPr>
        <w:t>was</w:t>
      </w:r>
      <w:r w:rsidR="00BC4742" w:rsidRPr="00824A06">
        <w:rPr>
          <w:rFonts w:cs="Arial"/>
        </w:rPr>
        <w:t xml:space="preserve"> </w:t>
      </w:r>
      <w:r w:rsidR="006B375F" w:rsidRPr="00824A06">
        <w:rPr>
          <w:rFonts w:cs="Arial"/>
        </w:rPr>
        <w:t xml:space="preserve">to identify the barriers and opportunities in national and local health commissioning </w:t>
      </w:r>
      <w:r w:rsidR="00497A16">
        <w:rPr>
          <w:rFonts w:cs="Arial"/>
        </w:rPr>
        <w:t>and planning to</w:t>
      </w:r>
      <w:r w:rsidR="006B375F" w:rsidRPr="00824A06">
        <w:rPr>
          <w:rFonts w:cs="Arial"/>
        </w:rPr>
        <w:t xml:space="preserve"> ensure that capacity will meet demand for eye health services to prevent avoidable sight loss.</w:t>
      </w:r>
    </w:p>
    <w:p w14:paraId="2F234275" w14:textId="77777777" w:rsidR="002A4940" w:rsidRPr="00824A06" w:rsidRDefault="002A4940" w:rsidP="00675F61">
      <w:pPr>
        <w:rPr>
          <w:rFonts w:cs="Arial"/>
        </w:rPr>
      </w:pPr>
    </w:p>
    <w:p w14:paraId="0A11CB8A" w14:textId="39935F1B" w:rsidR="00C13C37" w:rsidRDefault="008A5D08" w:rsidP="00824A06">
      <w:pPr>
        <w:rPr>
          <w:rFonts w:cs="Arial"/>
        </w:rPr>
      </w:pPr>
      <w:r w:rsidRPr="00824A06">
        <w:rPr>
          <w:rFonts w:cs="Arial"/>
        </w:rPr>
        <w:t>3</w:t>
      </w:r>
      <w:r w:rsidR="0010015E" w:rsidRPr="00824A06">
        <w:rPr>
          <w:rFonts w:cs="Arial"/>
        </w:rPr>
        <w:t>.</w:t>
      </w:r>
      <w:r w:rsidR="00F56B71" w:rsidRPr="00824A06">
        <w:rPr>
          <w:rFonts w:cs="Arial"/>
        </w:rPr>
        <w:t>2</w:t>
      </w:r>
      <w:r w:rsidR="00C13C37" w:rsidRPr="00824A06">
        <w:rPr>
          <w:rFonts w:cs="Arial"/>
        </w:rPr>
        <w:tab/>
        <w:t>The scope of the Inquiry was the commissi</w:t>
      </w:r>
      <w:r w:rsidR="00824A06">
        <w:rPr>
          <w:rFonts w:cs="Arial"/>
        </w:rPr>
        <w:t>oning and planning of eye care</w:t>
      </w:r>
      <w:r w:rsidR="00C13C37" w:rsidRPr="00824A06">
        <w:rPr>
          <w:rFonts w:cs="Arial"/>
        </w:rPr>
        <w:t xml:space="preserve"> services at the national and local</w:t>
      </w:r>
      <w:r w:rsidR="00C13C37" w:rsidRPr="00A2516E">
        <w:rPr>
          <w:rFonts w:cs="Arial"/>
        </w:rPr>
        <w:t xml:space="preserve"> lev</w:t>
      </w:r>
      <w:r w:rsidR="00824A06">
        <w:rPr>
          <w:rFonts w:cs="Arial"/>
        </w:rPr>
        <w:t xml:space="preserve">el within England. Specifically eye care service to detect and treat eye conditions for which there  </w:t>
      </w:r>
      <w:r w:rsidR="002532F8">
        <w:rPr>
          <w:rFonts w:cs="Arial"/>
        </w:rPr>
        <w:t xml:space="preserve">are </w:t>
      </w:r>
      <w:r w:rsidR="00824A06">
        <w:rPr>
          <w:rFonts w:cs="Arial"/>
        </w:rPr>
        <w:t xml:space="preserve">effective treatments, which </w:t>
      </w:r>
      <w:r w:rsidR="00AF0EAA">
        <w:rPr>
          <w:rFonts w:cs="Arial"/>
        </w:rPr>
        <w:t xml:space="preserve">if not treated in a clinically appropriate time </w:t>
      </w:r>
      <w:r w:rsidR="00824A06">
        <w:rPr>
          <w:rFonts w:cs="Arial"/>
        </w:rPr>
        <w:t>may lead</w:t>
      </w:r>
      <w:r w:rsidR="00AF0EAA">
        <w:rPr>
          <w:rFonts w:cs="Arial"/>
        </w:rPr>
        <w:t xml:space="preserve"> to</w:t>
      </w:r>
      <w:r w:rsidR="00824A06">
        <w:rPr>
          <w:rFonts w:cs="Arial"/>
        </w:rPr>
        <w:t xml:space="preserve"> </w:t>
      </w:r>
      <w:r w:rsidR="00AF0EAA">
        <w:rPr>
          <w:rFonts w:cs="Arial"/>
        </w:rPr>
        <w:t>permenant sight loss</w:t>
      </w:r>
      <w:r w:rsidR="00C13C37" w:rsidRPr="00A2516E">
        <w:rPr>
          <w:rFonts w:cs="Arial"/>
        </w:rPr>
        <w:t>.</w:t>
      </w:r>
      <w:r w:rsidR="00AF0EAA">
        <w:rPr>
          <w:rFonts w:cs="Arial"/>
        </w:rPr>
        <w:t>Conditions such as diabetic eye disease, glaucoma, wet A</w:t>
      </w:r>
      <w:r w:rsidR="000C0F59">
        <w:rPr>
          <w:rFonts w:cs="Arial"/>
        </w:rPr>
        <w:t xml:space="preserve">ge Related </w:t>
      </w:r>
      <w:r w:rsidR="00AF0EAA">
        <w:rPr>
          <w:rFonts w:cs="Arial"/>
        </w:rPr>
        <w:t>M</w:t>
      </w:r>
      <w:r w:rsidR="000C0F59">
        <w:rPr>
          <w:rFonts w:cs="Arial"/>
        </w:rPr>
        <w:t xml:space="preserve">acular </w:t>
      </w:r>
      <w:r w:rsidR="00AF0EAA">
        <w:rPr>
          <w:rFonts w:cs="Arial"/>
        </w:rPr>
        <w:t>D</w:t>
      </w:r>
      <w:r w:rsidR="000C0F59">
        <w:rPr>
          <w:rFonts w:cs="Arial"/>
        </w:rPr>
        <w:t>egeneration (AMD)</w:t>
      </w:r>
      <w:r w:rsidR="00AF0EAA">
        <w:rPr>
          <w:rFonts w:cs="Arial"/>
        </w:rPr>
        <w:t>.</w:t>
      </w:r>
      <w:r w:rsidR="00C13C37" w:rsidRPr="00A2516E">
        <w:rPr>
          <w:rFonts w:cs="Arial"/>
        </w:rPr>
        <w:t xml:space="preserve"> </w:t>
      </w:r>
    </w:p>
    <w:p w14:paraId="3CB1286E" w14:textId="77777777" w:rsidR="00824A06" w:rsidRDefault="00824A06" w:rsidP="00824A06">
      <w:pPr>
        <w:rPr>
          <w:rFonts w:cs="Arial"/>
        </w:rPr>
      </w:pPr>
    </w:p>
    <w:p w14:paraId="3E00FAB4" w14:textId="109EE5C3" w:rsidR="00C13C37" w:rsidRPr="00A2516E" w:rsidRDefault="008A5D08" w:rsidP="009F13CB">
      <w:r w:rsidRPr="00A2516E">
        <w:rPr>
          <w:rFonts w:cs="Arial"/>
        </w:rPr>
        <w:t>3</w:t>
      </w:r>
      <w:r w:rsidR="00F56B71" w:rsidRPr="00A2516E">
        <w:rPr>
          <w:rFonts w:cs="Arial"/>
        </w:rPr>
        <w:t>.3</w:t>
      </w:r>
      <w:r w:rsidR="0010015E" w:rsidRPr="00A2516E">
        <w:rPr>
          <w:rFonts w:cs="Arial"/>
          <w:szCs w:val="28"/>
        </w:rPr>
        <w:tab/>
      </w:r>
      <w:r w:rsidR="00C13C37" w:rsidRPr="00A2516E">
        <w:rPr>
          <w:rFonts w:cs="Arial"/>
        </w:rPr>
        <w:t>The Inquiry did not include</w:t>
      </w:r>
      <w:r w:rsidR="009F13CB">
        <w:rPr>
          <w:rFonts w:cs="Arial"/>
        </w:rPr>
        <w:t xml:space="preserve"> </w:t>
      </w:r>
      <w:r w:rsidR="00C13C37" w:rsidRPr="00A2516E">
        <w:t>refractive error which can usually be corrected by glasses or contact lenses</w:t>
      </w:r>
      <w:r w:rsidR="00A2516E">
        <w:t xml:space="preserve"> (</w:t>
      </w:r>
      <w:r w:rsidR="00C13C37" w:rsidRPr="00A2516E">
        <w:t>e.g. short or long-sightedness</w:t>
      </w:r>
      <w:r w:rsidR="00A2516E">
        <w:t>)</w:t>
      </w:r>
      <w:r w:rsidR="00C13C37" w:rsidRPr="00A2516E">
        <w:t xml:space="preserve">, </w:t>
      </w:r>
      <w:r w:rsidR="00A2516E">
        <w:t>or</w:t>
      </w:r>
      <w:r w:rsidR="0010015E" w:rsidRPr="00A2516E">
        <w:t xml:space="preserve"> </w:t>
      </w:r>
      <w:r w:rsidR="00C13C37" w:rsidRPr="00A2516E">
        <w:t xml:space="preserve">support </w:t>
      </w:r>
      <w:r w:rsidR="00AF0EAA">
        <w:t xml:space="preserve">usually provided by social services </w:t>
      </w:r>
      <w:r w:rsidR="00C13C37" w:rsidRPr="00A2516E">
        <w:t>for adults and children who experience sight loss.</w:t>
      </w:r>
    </w:p>
    <w:p w14:paraId="40DDF9B9" w14:textId="77777777" w:rsidR="00C13C37" w:rsidRPr="00D125A6" w:rsidRDefault="00C13C37" w:rsidP="0074471A">
      <w:pPr>
        <w:rPr>
          <w:rFonts w:eastAsia="Arial"/>
          <w:highlight w:val="cyan"/>
        </w:rPr>
      </w:pPr>
    </w:p>
    <w:p w14:paraId="344CC528" w14:textId="77777777" w:rsidR="002A4940" w:rsidRPr="00FF5272" w:rsidRDefault="6093ABFA" w:rsidP="6093ABFA">
      <w:pPr>
        <w:pStyle w:val="Heading2"/>
        <w:rPr>
          <w:rFonts w:eastAsia="Arial"/>
        </w:rPr>
      </w:pPr>
      <w:r w:rsidRPr="00FF5272">
        <w:rPr>
          <w:rFonts w:eastAsia="Arial"/>
        </w:rPr>
        <w:t xml:space="preserve">Methodology </w:t>
      </w:r>
    </w:p>
    <w:p w14:paraId="7B97635C" w14:textId="77777777" w:rsidR="002A4940" w:rsidRPr="009F13CB" w:rsidRDefault="002A4940" w:rsidP="0074471A">
      <w:pPr>
        <w:rPr>
          <w:rFonts w:eastAsia="Arial"/>
        </w:rPr>
      </w:pPr>
    </w:p>
    <w:p w14:paraId="3D5E24B5" w14:textId="4057E43B" w:rsidR="002A4940" w:rsidRPr="009F13CB" w:rsidRDefault="6093ABFA" w:rsidP="6093ABFA">
      <w:pPr>
        <w:pStyle w:val="Heading3"/>
        <w:rPr>
          <w:rFonts w:eastAsia="Arial"/>
        </w:rPr>
      </w:pPr>
      <w:r w:rsidRPr="009F13CB">
        <w:rPr>
          <w:rFonts w:eastAsia="Arial"/>
        </w:rPr>
        <w:t>How evidence was collected</w:t>
      </w:r>
    </w:p>
    <w:p w14:paraId="4F9F7CF1" w14:textId="2044BE94" w:rsidR="0051249A" w:rsidRPr="009F13CB" w:rsidRDefault="008A5D08" w:rsidP="6093ABFA">
      <w:pPr>
        <w:rPr>
          <w:lang w:val="en"/>
        </w:rPr>
      </w:pPr>
      <w:r w:rsidRPr="009F13CB">
        <w:rPr>
          <w:lang w:val="en"/>
        </w:rPr>
        <w:t>4.1.1</w:t>
      </w:r>
      <w:r w:rsidRPr="009F13CB">
        <w:rPr>
          <w:lang w:val="en"/>
        </w:rPr>
        <w:tab/>
      </w:r>
      <w:r w:rsidR="00FB6591">
        <w:rPr>
          <w:lang w:val="en"/>
        </w:rPr>
        <w:t>Evidence was provided to us</w:t>
      </w:r>
      <w:r w:rsidR="0051249A" w:rsidRPr="009F13CB">
        <w:rPr>
          <w:lang w:val="en"/>
        </w:rPr>
        <w:t xml:space="preserve"> </w:t>
      </w:r>
      <w:r w:rsidR="00A46BB3" w:rsidRPr="009F13CB">
        <w:rPr>
          <w:lang w:val="en"/>
        </w:rPr>
        <w:t>through a</w:t>
      </w:r>
      <w:r w:rsidR="0051249A" w:rsidRPr="009F13CB">
        <w:rPr>
          <w:lang w:val="en"/>
        </w:rPr>
        <w:t xml:space="preserve"> patient survey</w:t>
      </w:r>
      <w:r w:rsidR="00A46BB3" w:rsidRPr="009F13CB">
        <w:rPr>
          <w:lang w:val="en"/>
        </w:rPr>
        <w:t xml:space="preserve">, </w:t>
      </w:r>
      <w:r w:rsidRPr="009F13CB">
        <w:rPr>
          <w:lang w:val="en"/>
        </w:rPr>
        <w:t>a</w:t>
      </w:r>
      <w:r w:rsidR="0051249A" w:rsidRPr="009F13CB">
        <w:rPr>
          <w:lang w:val="en"/>
        </w:rPr>
        <w:t xml:space="preserve"> call for </w:t>
      </w:r>
      <w:r w:rsidR="00FB6591">
        <w:rPr>
          <w:lang w:val="en"/>
        </w:rPr>
        <w:t xml:space="preserve">written </w:t>
      </w:r>
      <w:r w:rsidR="0051249A" w:rsidRPr="009F13CB">
        <w:rPr>
          <w:lang w:val="en"/>
        </w:rPr>
        <w:t>evidence and</w:t>
      </w:r>
      <w:r w:rsidR="00A46BB3" w:rsidRPr="009F13CB">
        <w:rPr>
          <w:lang w:val="en"/>
        </w:rPr>
        <w:t xml:space="preserve"> </w:t>
      </w:r>
      <w:r w:rsidR="000D1642">
        <w:rPr>
          <w:lang w:val="en"/>
        </w:rPr>
        <w:t xml:space="preserve">two </w:t>
      </w:r>
      <w:r w:rsidR="00FB6591">
        <w:rPr>
          <w:lang w:val="en"/>
        </w:rPr>
        <w:t xml:space="preserve">oral </w:t>
      </w:r>
      <w:r w:rsidR="0051249A" w:rsidRPr="009F13CB">
        <w:rPr>
          <w:lang w:val="en"/>
        </w:rPr>
        <w:t xml:space="preserve">evidence </w:t>
      </w:r>
      <w:r w:rsidR="000D1642">
        <w:rPr>
          <w:lang w:val="en"/>
        </w:rPr>
        <w:t>hearings h</w:t>
      </w:r>
      <w:r w:rsidR="0051249A" w:rsidRPr="009F13CB">
        <w:rPr>
          <w:lang w:val="en"/>
        </w:rPr>
        <w:t>eld in Parliament</w:t>
      </w:r>
      <w:r w:rsidR="00A46BB3" w:rsidRPr="009F13CB">
        <w:rPr>
          <w:lang w:val="en"/>
        </w:rPr>
        <w:t>.</w:t>
      </w:r>
    </w:p>
    <w:p w14:paraId="027CD5EE" w14:textId="77777777" w:rsidR="00EF4B74" w:rsidRPr="009F13CB" w:rsidRDefault="00EF4B74" w:rsidP="00A46BB3">
      <w:pPr>
        <w:pStyle w:val="Heading3"/>
        <w:numPr>
          <w:ilvl w:val="0"/>
          <w:numId w:val="0"/>
        </w:numPr>
        <w:ind w:left="714"/>
        <w:rPr>
          <w:lang w:val="en"/>
        </w:rPr>
      </w:pPr>
    </w:p>
    <w:p w14:paraId="51603E43" w14:textId="6BF54847" w:rsidR="00422CFA" w:rsidRPr="00872049" w:rsidRDefault="6093ABFA" w:rsidP="6093ABFA">
      <w:pPr>
        <w:pStyle w:val="Heading3"/>
        <w:rPr>
          <w:lang w:val="en"/>
        </w:rPr>
      </w:pPr>
      <w:r w:rsidRPr="00872049">
        <w:rPr>
          <w:lang w:val="en"/>
        </w:rPr>
        <w:t xml:space="preserve">Patient survey </w:t>
      </w:r>
    </w:p>
    <w:p w14:paraId="5C671207" w14:textId="00DE7428" w:rsidR="00392089" w:rsidRPr="00872049" w:rsidRDefault="00AE1CEB" w:rsidP="6093ABFA">
      <w:pPr>
        <w:rPr>
          <w:rFonts w:cs="Arial"/>
        </w:rPr>
      </w:pPr>
      <w:r w:rsidRPr="00872049">
        <w:t>4</w:t>
      </w:r>
      <w:r w:rsidR="007F6705" w:rsidRPr="00872049">
        <w:t>.2.1</w:t>
      </w:r>
      <w:r w:rsidR="007F6705" w:rsidRPr="00872049">
        <w:tab/>
      </w:r>
      <w:r w:rsidR="00647DA1" w:rsidRPr="00872049">
        <w:t>W</w:t>
      </w:r>
      <w:r w:rsidR="00392089" w:rsidRPr="00872049">
        <w:t xml:space="preserve">e </w:t>
      </w:r>
      <w:r w:rsidR="00647DA1" w:rsidRPr="00872049">
        <w:t>ran an online</w:t>
      </w:r>
      <w:r w:rsidR="00FB6591">
        <w:t xml:space="preserve"> and telephone</w:t>
      </w:r>
      <w:r w:rsidR="00647DA1" w:rsidRPr="00872049">
        <w:t xml:space="preserve"> </w:t>
      </w:r>
      <w:r w:rsidR="007F6705" w:rsidRPr="00872049">
        <w:t>p</w:t>
      </w:r>
      <w:r w:rsidR="00392089" w:rsidRPr="00872049">
        <w:t xml:space="preserve">atient </w:t>
      </w:r>
      <w:r w:rsidR="007F6705" w:rsidRPr="00872049">
        <w:t>s</w:t>
      </w:r>
      <w:r w:rsidR="00392089" w:rsidRPr="00872049">
        <w:t xml:space="preserve">urvey for five-weeks between </w:t>
      </w:r>
      <w:r w:rsidR="00E377CB">
        <w:t xml:space="preserve">the </w:t>
      </w:r>
      <w:r w:rsidR="00392089" w:rsidRPr="00872049">
        <w:t>11th September and 20th October</w:t>
      </w:r>
      <w:r w:rsidR="007F6705" w:rsidRPr="00872049">
        <w:t xml:space="preserve"> 2017</w:t>
      </w:r>
      <w:r w:rsidR="00392089" w:rsidRPr="00872049">
        <w:t>.</w:t>
      </w:r>
      <w:r w:rsidR="00227E98" w:rsidRPr="00872049">
        <w:t xml:space="preserve"> T</w:t>
      </w:r>
      <w:r w:rsidR="00CF0A24" w:rsidRPr="00872049">
        <w:t xml:space="preserve">he survey </w:t>
      </w:r>
      <w:r w:rsidR="00A25125" w:rsidRPr="00872049">
        <w:t>gather</w:t>
      </w:r>
      <w:r w:rsidR="001770AD" w:rsidRPr="00872049">
        <w:t>ed</w:t>
      </w:r>
      <w:r w:rsidR="00A25125" w:rsidRPr="00872049">
        <w:t xml:space="preserve"> quantitative data</w:t>
      </w:r>
      <w:r w:rsidR="00A61D7F">
        <w:t xml:space="preserve"> about delays and cancellations,</w:t>
      </w:r>
      <w:r w:rsidR="00A25125" w:rsidRPr="00872049">
        <w:t xml:space="preserve"> </w:t>
      </w:r>
      <w:r w:rsidR="00227E98" w:rsidRPr="00872049">
        <w:t xml:space="preserve">and </w:t>
      </w:r>
      <w:r w:rsidR="006541E9">
        <w:t xml:space="preserve">qualitative data about </w:t>
      </w:r>
      <w:r w:rsidR="00A61D7F">
        <w:t>the impact of delays and cancellations</w:t>
      </w:r>
      <w:r w:rsidR="001C7FBD">
        <w:t>,</w:t>
      </w:r>
      <w:r w:rsidR="00A61D7F">
        <w:t xml:space="preserve"> </w:t>
      </w:r>
      <w:r w:rsidR="006541E9">
        <w:t>what worked well, what didn’t work well,</w:t>
      </w:r>
      <w:r w:rsidR="00B46A12">
        <w:t xml:space="preserve"> </w:t>
      </w:r>
      <w:r w:rsidR="006541E9">
        <w:t xml:space="preserve">and </w:t>
      </w:r>
      <w:r w:rsidR="00227E98" w:rsidRPr="00872049">
        <w:t xml:space="preserve">suggestions for improvements </w:t>
      </w:r>
      <w:r w:rsidR="00872049" w:rsidRPr="00872049">
        <w:t xml:space="preserve">from patients </w:t>
      </w:r>
      <w:r w:rsidR="00197B50" w:rsidRPr="00872049">
        <w:t>who had received treatment within the last three years</w:t>
      </w:r>
      <w:r w:rsidR="007C2C12" w:rsidRPr="00872049">
        <w:t>,</w:t>
      </w:r>
      <w:r w:rsidR="00197B50" w:rsidRPr="00872049">
        <w:t xml:space="preserve"> (not including the routine provision of glasses or contact lenses) about their experiences of eye care services in England.</w:t>
      </w:r>
      <w:r w:rsidR="00A25125" w:rsidRPr="00872049">
        <w:t xml:space="preserve"> </w:t>
      </w:r>
      <w:r w:rsidR="00392089" w:rsidRPr="00872049">
        <w:t xml:space="preserve">We received </w:t>
      </w:r>
      <w:r w:rsidR="00197B50" w:rsidRPr="00872049">
        <w:t>557 eligible responses.</w:t>
      </w:r>
      <w:r w:rsidR="001447DE">
        <w:t>[</w:t>
      </w:r>
      <w:r w:rsidR="00197B50" w:rsidRPr="001447DE">
        <w:rPr>
          <w:rStyle w:val="EndnoteReference"/>
          <w:b/>
          <w:vertAlign w:val="baseline"/>
        </w:rPr>
        <w:endnoteReference w:id="4"/>
      </w:r>
      <w:r w:rsidR="001447DE">
        <w:t xml:space="preserve">] </w:t>
      </w:r>
      <w:r w:rsidR="008F5066" w:rsidRPr="00872049">
        <w:rPr>
          <w:rFonts w:cs="Arial"/>
        </w:rPr>
        <w:t>Survey r</w:t>
      </w:r>
      <w:r w:rsidR="00392089" w:rsidRPr="00872049">
        <w:rPr>
          <w:rFonts w:cs="Arial"/>
        </w:rPr>
        <w:t xml:space="preserve">espondents were recruited </w:t>
      </w:r>
      <w:r w:rsidR="00BA7D15">
        <w:rPr>
          <w:rFonts w:cs="Arial"/>
        </w:rPr>
        <w:t>from</w:t>
      </w:r>
      <w:r w:rsidR="00392089" w:rsidRPr="00872049">
        <w:rPr>
          <w:rFonts w:cs="Arial"/>
        </w:rPr>
        <w:t>:</w:t>
      </w:r>
    </w:p>
    <w:p w14:paraId="792B6C7C" w14:textId="77777777" w:rsidR="00392089" w:rsidRPr="00872049" w:rsidRDefault="6093ABFA" w:rsidP="00392089">
      <w:pPr>
        <w:pStyle w:val="ListBullet"/>
      </w:pPr>
      <w:r w:rsidRPr="00872049">
        <w:t>RNIB’s existing communications channels and social media platforms and RNIB Connect Radio</w:t>
      </w:r>
    </w:p>
    <w:p w14:paraId="11EDB800" w14:textId="7EB247F7" w:rsidR="00392089" w:rsidRPr="00872049" w:rsidRDefault="6093ABFA" w:rsidP="00392089">
      <w:pPr>
        <w:pStyle w:val="ListBullet"/>
      </w:pPr>
      <w:r w:rsidRPr="00872049">
        <w:t>Other charities and networks including the Macular Society, the International Glaucoma Association, Seeability and other sight loss and health charities, as well as APPG Expert Advisory Group member organisations</w:t>
      </w:r>
      <w:r w:rsidR="00BA7D15">
        <w:t xml:space="preserve">, and </w:t>
      </w:r>
      <w:r w:rsidRPr="00872049">
        <w:t xml:space="preserve"> </w:t>
      </w:r>
    </w:p>
    <w:p w14:paraId="67B8A1A7" w14:textId="50435704" w:rsidR="00392089" w:rsidRPr="00872049" w:rsidRDefault="6093ABFA" w:rsidP="00BD5783">
      <w:pPr>
        <w:pStyle w:val="ListBullet"/>
      </w:pPr>
      <w:r w:rsidRPr="00872049">
        <w:t xml:space="preserve">RNIB’s ‘research panel’ which includes people that have contributed to previous consultations on </w:t>
      </w:r>
      <w:r w:rsidR="00BD5783" w:rsidRPr="00872049">
        <w:t>National Institute for Health and Care Excellence (</w:t>
      </w:r>
      <w:r w:rsidRPr="00872049">
        <w:t>NICE</w:t>
      </w:r>
      <w:r w:rsidR="00BD5783" w:rsidRPr="00872049">
        <w:t>)</w:t>
      </w:r>
      <w:r w:rsidR="007A1434" w:rsidRPr="00872049" w:rsidDel="007A1434">
        <w:t xml:space="preserve"> </w:t>
      </w:r>
      <w:r w:rsidRPr="00872049">
        <w:t xml:space="preserve">guidance. RNIB draws upon this panel, of approximately 150 people with a sight condition, to engage in surveys and other research. </w:t>
      </w:r>
    </w:p>
    <w:p w14:paraId="37E212A5" w14:textId="77777777" w:rsidR="00C54D96" w:rsidRPr="00D125A6" w:rsidRDefault="00C54D96" w:rsidP="00307EB8">
      <w:pPr>
        <w:pStyle w:val="ListBullet"/>
        <w:numPr>
          <w:ilvl w:val="0"/>
          <w:numId w:val="0"/>
        </w:numPr>
        <w:ind w:left="360"/>
        <w:rPr>
          <w:highlight w:val="cyan"/>
        </w:rPr>
      </w:pPr>
    </w:p>
    <w:p w14:paraId="7F875F4E" w14:textId="5A079DD2" w:rsidR="00A15D27" w:rsidRPr="003E223A" w:rsidRDefault="00392089" w:rsidP="00E0262E">
      <w:pPr>
        <w:pStyle w:val="Heading3"/>
      </w:pPr>
      <w:r w:rsidRPr="003E223A">
        <w:rPr>
          <w:lang w:val="en"/>
        </w:rPr>
        <w:t xml:space="preserve">Call for evidence </w:t>
      </w:r>
    </w:p>
    <w:p w14:paraId="74B4B128" w14:textId="12AE6A5A" w:rsidR="006C6C5B" w:rsidRPr="003E223A" w:rsidRDefault="001770AD" w:rsidP="00824DFE">
      <w:r w:rsidRPr="003E223A">
        <w:t>4</w:t>
      </w:r>
      <w:r w:rsidR="007C2C12" w:rsidRPr="003E223A">
        <w:t>.3.1</w:t>
      </w:r>
      <w:r w:rsidR="007C2C12" w:rsidRPr="003E223A">
        <w:tab/>
      </w:r>
      <w:r w:rsidR="00392089" w:rsidRPr="003E223A">
        <w:t xml:space="preserve">We </w:t>
      </w:r>
      <w:r w:rsidR="007C2C12" w:rsidRPr="003E223A">
        <w:t>published</w:t>
      </w:r>
      <w:r w:rsidR="00392089" w:rsidRPr="003E223A">
        <w:t xml:space="preserve"> </w:t>
      </w:r>
      <w:r w:rsidR="007C2C12" w:rsidRPr="003E223A">
        <w:t>a</w:t>
      </w:r>
      <w:r w:rsidR="00392089" w:rsidRPr="003E223A">
        <w:t xml:space="preserve"> </w:t>
      </w:r>
      <w:r w:rsidR="007C2C12" w:rsidRPr="003E223A">
        <w:t>c</w:t>
      </w:r>
      <w:r w:rsidR="00392089" w:rsidRPr="003E223A">
        <w:t xml:space="preserve">all for </w:t>
      </w:r>
      <w:r w:rsidR="007C2C12" w:rsidRPr="003E223A">
        <w:t>e</w:t>
      </w:r>
      <w:r w:rsidR="00392089" w:rsidRPr="003E223A">
        <w:t xml:space="preserve">vidence for </w:t>
      </w:r>
      <w:r w:rsidR="007C2C12" w:rsidRPr="003E223A">
        <w:t>twelve</w:t>
      </w:r>
      <w:r w:rsidR="004F46BC">
        <w:t xml:space="preserve"> </w:t>
      </w:r>
      <w:r w:rsidR="00392089" w:rsidRPr="003E223A">
        <w:t xml:space="preserve">weeks from </w:t>
      </w:r>
      <w:r w:rsidR="00E377CB">
        <w:t xml:space="preserve">the </w:t>
      </w:r>
      <w:r w:rsidR="00392089" w:rsidRPr="003E223A">
        <w:t>28th July until 20</w:t>
      </w:r>
      <w:r w:rsidR="00392089" w:rsidRPr="003E223A">
        <w:rPr>
          <w:vertAlign w:val="superscript"/>
        </w:rPr>
        <w:t>th</w:t>
      </w:r>
      <w:r w:rsidR="00392089" w:rsidRPr="003E223A">
        <w:t xml:space="preserve"> October</w:t>
      </w:r>
      <w:r w:rsidR="007F6705" w:rsidRPr="003E223A">
        <w:t xml:space="preserve"> 2017</w:t>
      </w:r>
      <w:r w:rsidR="003E6ED7" w:rsidRPr="003E223A">
        <w:t xml:space="preserve">, </w:t>
      </w:r>
      <w:r w:rsidRPr="003E223A">
        <w:t>gather</w:t>
      </w:r>
      <w:r w:rsidR="00B7399C" w:rsidRPr="003E223A">
        <w:t>ing</w:t>
      </w:r>
      <w:r w:rsidR="005165F8" w:rsidRPr="003E223A">
        <w:t xml:space="preserve"> </w:t>
      </w:r>
      <w:r w:rsidR="00FB6591">
        <w:t>written submissions</w:t>
      </w:r>
      <w:r w:rsidR="005165F8" w:rsidRPr="003E223A">
        <w:t xml:space="preserve"> from</w:t>
      </w:r>
      <w:r w:rsidR="00DF73B9" w:rsidRPr="003E223A">
        <w:t>:</w:t>
      </w:r>
    </w:p>
    <w:p w14:paraId="52FD47FC" w14:textId="53641E93" w:rsidR="006C6C5B" w:rsidRPr="003E223A" w:rsidRDefault="6093ABFA" w:rsidP="6093ABFA">
      <w:pPr>
        <w:pStyle w:val="ListBullet"/>
        <w:rPr>
          <w:rFonts w:cs="Arial"/>
        </w:rPr>
      </w:pPr>
      <w:r w:rsidRPr="003E223A">
        <w:rPr>
          <w:rFonts w:cs="Arial"/>
        </w:rPr>
        <w:t xml:space="preserve">Department of Health, NHS England and Public Health England </w:t>
      </w:r>
    </w:p>
    <w:p w14:paraId="59BF8382" w14:textId="54F5BC62" w:rsidR="006C6C5B" w:rsidRPr="003E223A" w:rsidRDefault="6093ABFA" w:rsidP="6093ABFA">
      <w:pPr>
        <w:pStyle w:val="ListBullet"/>
        <w:rPr>
          <w:rFonts w:cs="Arial"/>
        </w:rPr>
      </w:pPr>
      <w:r w:rsidRPr="003E223A">
        <w:rPr>
          <w:rFonts w:cs="Arial"/>
        </w:rPr>
        <w:t>Commissioners and NHS Eye Departments</w:t>
      </w:r>
    </w:p>
    <w:p w14:paraId="232500D3" w14:textId="56EB50E5" w:rsidR="006C6C5B" w:rsidRPr="003E223A" w:rsidRDefault="6093ABFA" w:rsidP="6093ABFA">
      <w:pPr>
        <w:pStyle w:val="ListBullet"/>
        <w:rPr>
          <w:rFonts w:cs="Arial"/>
        </w:rPr>
      </w:pPr>
      <w:r w:rsidRPr="003E223A">
        <w:rPr>
          <w:rFonts w:cs="Arial"/>
          <w:color w:val="000000"/>
        </w:rPr>
        <w:t xml:space="preserve">Sustainability Transformation Partnerships (STPs), and </w:t>
      </w:r>
      <w:r w:rsidRPr="003E223A">
        <w:rPr>
          <w:rFonts w:cs="Arial"/>
          <w:color w:val="000000"/>
          <w:lang w:val="en-US"/>
        </w:rPr>
        <w:t xml:space="preserve"> </w:t>
      </w:r>
    </w:p>
    <w:p w14:paraId="77FA06EF" w14:textId="0CB58DD0" w:rsidR="006C6C5B" w:rsidRDefault="6093ABFA" w:rsidP="6093ABFA">
      <w:pPr>
        <w:pStyle w:val="ListBullet"/>
        <w:rPr>
          <w:rFonts w:cs="Arial"/>
        </w:rPr>
      </w:pPr>
      <w:r w:rsidRPr="003E223A">
        <w:rPr>
          <w:rFonts w:cs="Arial"/>
        </w:rPr>
        <w:t>Health profession bodies, charities, research and health industry organisations with an interest in eye health</w:t>
      </w:r>
      <w:r w:rsidR="00FB6591">
        <w:rPr>
          <w:rFonts w:cs="Arial"/>
        </w:rPr>
        <w:t xml:space="preserve"> and commissioning and planning</w:t>
      </w:r>
    </w:p>
    <w:p w14:paraId="682017CA" w14:textId="10091FD5" w:rsidR="00FB6591" w:rsidRPr="003E223A" w:rsidRDefault="00FB6591" w:rsidP="6093ABFA">
      <w:pPr>
        <w:pStyle w:val="ListBullet"/>
        <w:rPr>
          <w:rFonts w:cs="Arial"/>
        </w:rPr>
      </w:pPr>
      <w:r>
        <w:rPr>
          <w:rFonts w:cs="Arial"/>
        </w:rPr>
        <w:t>Patients and their families.</w:t>
      </w:r>
    </w:p>
    <w:p w14:paraId="59261F84" w14:textId="77777777" w:rsidR="00175EA9" w:rsidRPr="00D125A6" w:rsidRDefault="00175EA9" w:rsidP="000B64E5">
      <w:pPr>
        <w:pStyle w:val="ListBullet"/>
        <w:numPr>
          <w:ilvl w:val="0"/>
          <w:numId w:val="0"/>
        </w:numPr>
        <w:ind w:left="360"/>
        <w:rPr>
          <w:rFonts w:cs="Arial"/>
          <w:highlight w:val="cyan"/>
        </w:rPr>
      </w:pPr>
    </w:p>
    <w:p w14:paraId="741DE681" w14:textId="520DD6EB" w:rsidR="00641BB1" w:rsidRPr="003E223A" w:rsidRDefault="00175EA9" w:rsidP="002454B1">
      <w:r w:rsidRPr="003E223A">
        <w:t>4.3.2</w:t>
      </w:r>
      <w:r w:rsidRPr="003E223A">
        <w:tab/>
      </w:r>
      <w:r w:rsidR="003E223A">
        <w:t xml:space="preserve">The </w:t>
      </w:r>
      <w:r w:rsidR="00FB6591">
        <w:t xml:space="preserve">original intention was to take evidence from </w:t>
      </w:r>
      <w:r w:rsidR="00031E35" w:rsidRPr="003E223A">
        <w:t>o</w:t>
      </w:r>
      <w:r w:rsidR="006C6C5B" w:rsidRPr="003E223A">
        <w:t>ther areas of health policy</w:t>
      </w:r>
      <w:r w:rsidR="002454B1" w:rsidRPr="003E223A">
        <w:t xml:space="preserve"> (</w:t>
      </w:r>
      <w:r w:rsidR="006C6C5B" w:rsidRPr="003E223A">
        <w:t xml:space="preserve">to identify </w:t>
      </w:r>
      <w:r w:rsidR="00031E35" w:rsidRPr="003E223A">
        <w:t xml:space="preserve">any </w:t>
      </w:r>
      <w:r w:rsidR="006C6C5B" w:rsidRPr="003E223A">
        <w:t xml:space="preserve">lessons that </w:t>
      </w:r>
      <w:r w:rsidR="002454B1" w:rsidRPr="003E223A">
        <w:t>could</w:t>
      </w:r>
      <w:r w:rsidR="00770C09" w:rsidRPr="003E223A">
        <w:t xml:space="preserve"> </w:t>
      </w:r>
      <w:r w:rsidR="006C6C5B" w:rsidRPr="003E223A">
        <w:t>be applied to eye health</w:t>
      </w:r>
      <w:r w:rsidR="002454B1" w:rsidRPr="003E223A">
        <w:t>)</w:t>
      </w:r>
      <w:r w:rsidR="00770C09" w:rsidRPr="003E223A">
        <w:t xml:space="preserve">; but </w:t>
      </w:r>
      <w:r w:rsidR="00FB6591">
        <w:t>this</w:t>
      </w:r>
      <w:r w:rsidR="00770C09" w:rsidRPr="003E223A">
        <w:t xml:space="preserve"> </w:t>
      </w:r>
      <w:r w:rsidR="00605521" w:rsidRPr="003E223A">
        <w:t xml:space="preserve">was not </w:t>
      </w:r>
      <w:r w:rsidR="00641BB1" w:rsidRPr="003E223A">
        <w:t xml:space="preserve">taken forward </w:t>
      </w:r>
      <w:r w:rsidR="006A324B" w:rsidRPr="003E223A">
        <w:t>due to</w:t>
      </w:r>
      <w:r w:rsidR="00641BB1" w:rsidRPr="003E223A">
        <w:t xml:space="preserve"> the </w:t>
      </w:r>
      <w:r w:rsidR="00CE1DE8">
        <w:t xml:space="preserve">relatively </w:t>
      </w:r>
      <w:r w:rsidR="00641BB1" w:rsidRPr="003E223A">
        <w:t xml:space="preserve">large amount of evidence </w:t>
      </w:r>
      <w:r w:rsidR="00CE1DE8">
        <w:t xml:space="preserve">we </w:t>
      </w:r>
      <w:r w:rsidR="00641BB1" w:rsidRPr="003E223A">
        <w:t xml:space="preserve">received and </w:t>
      </w:r>
      <w:r w:rsidR="00CE1DE8">
        <w:t xml:space="preserve">the </w:t>
      </w:r>
      <w:r w:rsidR="00641BB1" w:rsidRPr="003E223A">
        <w:t>limited resource</w:t>
      </w:r>
      <w:r w:rsidR="00CE1DE8" w:rsidRPr="00CE1DE8">
        <w:t xml:space="preserve"> </w:t>
      </w:r>
      <w:r w:rsidR="00CE1DE8">
        <w:t>of the secretariat</w:t>
      </w:r>
      <w:r w:rsidR="00641BB1" w:rsidRPr="003E223A">
        <w:t>.</w:t>
      </w:r>
    </w:p>
    <w:p w14:paraId="491770EA" w14:textId="77777777" w:rsidR="00C54246" w:rsidRPr="00D125A6" w:rsidRDefault="00C54246" w:rsidP="00392089">
      <w:pPr>
        <w:rPr>
          <w:highlight w:val="cyan"/>
        </w:rPr>
      </w:pPr>
    </w:p>
    <w:p w14:paraId="7823914C" w14:textId="53D6A07E" w:rsidR="00392089" w:rsidRPr="00CE1DE8" w:rsidRDefault="000B64E5" w:rsidP="00392089">
      <w:r w:rsidRPr="006B3439">
        <w:t>4</w:t>
      </w:r>
      <w:r w:rsidR="00854EC8" w:rsidRPr="006B3439">
        <w:t>.3.</w:t>
      </w:r>
      <w:r w:rsidRPr="006B3439">
        <w:t>3</w:t>
      </w:r>
      <w:r w:rsidR="00854EC8" w:rsidRPr="006B3439">
        <w:tab/>
        <w:t>The c</w:t>
      </w:r>
      <w:r w:rsidR="00824DFE" w:rsidRPr="006B3439">
        <w:t xml:space="preserve">all for </w:t>
      </w:r>
      <w:r w:rsidR="00854EC8" w:rsidRPr="006B3439">
        <w:t>e</w:t>
      </w:r>
      <w:r w:rsidR="00824DFE" w:rsidRPr="006B3439">
        <w:t xml:space="preserve">vidence </w:t>
      </w:r>
      <w:r w:rsidR="00854EC8" w:rsidRPr="006B3439">
        <w:t xml:space="preserve">was </w:t>
      </w:r>
      <w:r w:rsidR="00824DFE" w:rsidRPr="006B3439">
        <w:t>email</w:t>
      </w:r>
      <w:r w:rsidR="00FB6591">
        <w:t>ed</w:t>
      </w:r>
      <w:r w:rsidR="00824DFE" w:rsidRPr="006B3439">
        <w:t xml:space="preserve"> </w:t>
      </w:r>
      <w:r w:rsidR="00854EC8" w:rsidRPr="006B3439">
        <w:t xml:space="preserve">to organisations’ </w:t>
      </w:r>
      <w:r w:rsidR="00824DFE" w:rsidRPr="006B3439">
        <w:t>senior manage</w:t>
      </w:r>
      <w:r w:rsidR="00854EC8" w:rsidRPr="006B3439">
        <w:t>rs</w:t>
      </w:r>
      <w:r w:rsidR="00B904F7" w:rsidRPr="006B3439">
        <w:t xml:space="preserve"> (e.g. Chairs </w:t>
      </w:r>
      <w:r w:rsidR="00FA75F0" w:rsidRPr="006B3439">
        <w:t>and</w:t>
      </w:r>
      <w:r w:rsidR="00B904F7" w:rsidRPr="006B3439">
        <w:t xml:space="preserve"> CEOs)</w:t>
      </w:r>
      <w:r w:rsidR="00824DFE" w:rsidRPr="006B3439">
        <w:t xml:space="preserve">, </w:t>
      </w:r>
      <w:r w:rsidR="007D44F5" w:rsidRPr="006B3439">
        <w:t xml:space="preserve">reminder </w:t>
      </w:r>
      <w:r w:rsidR="00854EC8" w:rsidRPr="006B3439">
        <w:t>emails and phone calls to</w:t>
      </w:r>
      <w:r w:rsidR="00824DFE" w:rsidRPr="006B3439">
        <w:t xml:space="preserve"> encourage responses. </w:t>
      </w:r>
      <w:r w:rsidR="00854EC8" w:rsidRPr="006B3439">
        <w:t xml:space="preserve">It was </w:t>
      </w:r>
      <w:r w:rsidR="00824DFE" w:rsidRPr="006B3439">
        <w:t xml:space="preserve">also advertised on social media via the </w:t>
      </w:r>
      <w:r w:rsidR="00854EC8" w:rsidRPr="006B3439">
        <w:t xml:space="preserve">APPG and </w:t>
      </w:r>
      <w:r w:rsidR="00824DFE" w:rsidRPr="006B3439">
        <w:t>RNIB</w:t>
      </w:r>
      <w:r w:rsidR="00FF2EDC" w:rsidRPr="006B3439">
        <w:t xml:space="preserve"> twitter accounts</w:t>
      </w:r>
      <w:r w:rsidR="00854EC8" w:rsidRPr="006B3439">
        <w:t>, and o</w:t>
      </w:r>
      <w:r w:rsidR="00824DFE" w:rsidRPr="006B3439">
        <w:t xml:space="preserve">ther organisations </w:t>
      </w:r>
      <w:r w:rsidR="00854EC8" w:rsidRPr="006B3439">
        <w:t xml:space="preserve">were asked </w:t>
      </w:r>
      <w:r w:rsidR="00824DFE" w:rsidRPr="006B3439">
        <w:t xml:space="preserve">to publicise it </w:t>
      </w:r>
      <w:r w:rsidR="00854EC8" w:rsidRPr="006B3439">
        <w:t xml:space="preserve">on </w:t>
      </w:r>
      <w:r w:rsidR="00824DFE" w:rsidRPr="006B3439">
        <w:t>social media.</w:t>
      </w:r>
      <w:r w:rsidR="00122488" w:rsidRPr="006B3439">
        <w:t xml:space="preserve"> </w:t>
      </w:r>
      <w:r w:rsidR="00392089" w:rsidRPr="006B3439">
        <w:t xml:space="preserve">We received </w:t>
      </w:r>
      <w:r w:rsidR="00997852" w:rsidRPr="006B3439">
        <w:rPr>
          <w:rFonts w:eastAsia="Arial Unicode MS"/>
          <w:bCs/>
          <w:bdr w:val="none" w:sz="0" w:space="0" w:color="auto" w:frame="1"/>
          <w:lang w:val="en"/>
        </w:rPr>
        <w:t>91</w:t>
      </w:r>
      <w:r w:rsidR="00997852" w:rsidRPr="006B3439">
        <w:rPr>
          <w:rFonts w:eastAsia="Arial Unicode MS"/>
          <w:b/>
          <w:bCs/>
          <w:bdr w:val="none" w:sz="0" w:space="0" w:color="auto" w:frame="1"/>
          <w:lang w:val="en"/>
        </w:rPr>
        <w:t xml:space="preserve"> </w:t>
      </w:r>
      <w:r w:rsidR="00B11E21" w:rsidRPr="006B3439">
        <w:t xml:space="preserve">responses </w:t>
      </w:r>
      <w:r w:rsidR="00392089" w:rsidRPr="006B3439">
        <w:t xml:space="preserve">on behalf </w:t>
      </w:r>
      <w:r w:rsidR="00854EC8" w:rsidRPr="006B3439">
        <w:t xml:space="preserve">of </w:t>
      </w:r>
      <w:r w:rsidR="00997852" w:rsidRPr="006B3439">
        <w:t>112</w:t>
      </w:r>
      <w:r w:rsidR="00392089" w:rsidRPr="006B3439">
        <w:t xml:space="preserve"> organisations, </w:t>
      </w:r>
      <w:r w:rsidR="004F46BC">
        <w:t>plus written responses from a small number of</w:t>
      </w:r>
      <w:r w:rsidR="004F46BC" w:rsidRPr="006B3439">
        <w:t xml:space="preserve"> </w:t>
      </w:r>
      <w:r w:rsidR="004F46BC">
        <w:t>individuals</w:t>
      </w:r>
      <w:r w:rsidR="00122488" w:rsidRPr="006B3439">
        <w:t>.</w:t>
      </w:r>
      <w:r w:rsidR="00122488" w:rsidRPr="00CE1DE8">
        <w:t xml:space="preserve"> </w:t>
      </w:r>
    </w:p>
    <w:p w14:paraId="078A0101" w14:textId="77777777" w:rsidR="00392089" w:rsidRPr="00D125A6" w:rsidRDefault="00392089" w:rsidP="00392089">
      <w:pPr>
        <w:rPr>
          <w:highlight w:val="cyan"/>
        </w:rPr>
      </w:pPr>
    </w:p>
    <w:p w14:paraId="1762F534" w14:textId="1AC38919" w:rsidR="00137E46" w:rsidRPr="00486608" w:rsidRDefault="00FB6591" w:rsidP="6093ABFA">
      <w:pPr>
        <w:pStyle w:val="Heading3"/>
        <w:rPr>
          <w:lang w:val="en"/>
        </w:rPr>
      </w:pPr>
      <w:r>
        <w:rPr>
          <w:lang w:val="en"/>
        </w:rPr>
        <w:t>Oral e</w:t>
      </w:r>
      <w:r w:rsidR="6093ABFA" w:rsidRPr="00486608">
        <w:rPr>
          <w:lang w:val="en"/>
        </w:rPr>
        <w:t xml:space="preserve">vidence </w:t>
      </w:r>
      <w:r w:rsidR="000D1642" w:rsidRPr="00486608">
        <w:rPr>
          <w:lang w:val="en"/>
        </w:rPr>
        <w:t xml:space="preserve">hearings </w:t>
      </w:r>
    </w:p>
    <w:p w14:paraId="1ADE808E" w14:textId="6BD7E01B" w:rsidR="00AB2830" w:rsidRPr="00486608" w:rsidRDefault="00F55B90" w:rsidP="00835FFB">
      <w:r w:rsidRPr="00486608">
        <w:rPr>
          <w:lang w:val="en"/>
        </w:rPr>
        <w:t>4</w:t>
      </w:r>
      <w:r w:rsidR="00AF7567" w:rsidRPr="00486608">
        <w:rPr>
          <w:lang w:val="en"/>
        </w:rPr>
        <w:t>.4.1</w:t>
      </w:r>
      <w:r w:rsidR="00AF7567" w:rsidRPr="00486608">
        <w:rPr>
          <w:lang w:val="en"/>
        </w:rPr>
        <w:tab/>
        <w:t xml:space="preserve">We held two </w:t>
      </w:r>
      <w:r w:rsidR="00FF5272">
        <w:rPr>
          <w:lang w:val="en"/>
        </w:rPr>
        <w:t xml:space="preserve">oral </w:t>
      </w:r>
      <w:r w:rsidR="00AF7567" w:rsidRPr="00486608">
        <w:rPr>
          <w:lang w:val="en"/>
        </w:rPr>
        <w:t xml:space="preserve">evidence sessions </w:t>
      </w:r>
      <w:r w:rsidR="000F5825" w:rsidRPr="00486608">
        <w:rPr>
          <w:lang w:val="en"/>
        </w:rPr>
        <w:t xml:space="preserve">in </w:t>
      </w:r>
      <w:r w:rsidR="006E109D" w:rsidRPr="00486608">
        <w:rPr>
          <w:lang w:val="en"/>
        </w:rPr>
        <w:t xml:space="preserve">Parliament </w:t>
      </w:r>
      <w:r w:rsidR="00AF7567" w:rsidRPr="00486608">
        <w:rPr>
          <w:lang w:val="en"/>
        </w:rPr>
        <w:t xml:space="preserve">on </w:t>
      </w:r>
      <w:r w:rsidR="00486608">
        <w:rPr>
          <w:lang w:val="en"/>
        </w:rPr>
        <w:t xml:space="preserve">the </w:t>
      </w:r>
      <w:r w:rsidR="00AF7567" w:rsidRPr="00486608">
        <w:t>28th of November and 5th of December 2017</w:t>
      </w:r>
      <w:r w:rsidR="00FF5272">
        <w:t xml:space="preserve">. Patients using NHS eye care services and </w:t>
      </w:r>
      <w:r w:rsidR="00AB2830" w:rsidRPr="00486608">
        <w:t>professionals involved in the provision of services, including clinicians, commissioners and other interested parties</w:t>
      </w:r>
      <w:r w:rsidR="00FF5272">
        <w:t xml:space="preserve"> gave oral evidence to us</w:t>
      </w:r>
      <w:r w:rsidR="00AB2830" w:rsidRPr="00486608">
        <w:t xml:space="preserve">. </w:t>
      </w:r>
    </w:p>
    <w:p w14:paraId="3C2A23DC" w14:textId="77777777" w:rsidR="00AB2830" w:rsidRPr="00D125A6" w:rsidRDefault="00AB2830" w:rsidP="00E0262E">
      <w:pPr>
        <w:rPr>
          <w:highlight w:val="cyan"/>
          <w:lang w:val="en"/>
        </w:rPr>
      </w:pPr>
    </w:p>
    <w:p w14:paraId="2994B361" w14:textId="77777777" w:rsidR="00FF5272" w:rsidRDefault="00F55B90" w:rsidP="00FF5272">
      <w:pPr>
        <w:rPr>
          <w:lang w:val="en"/>
        </w:rPr>
      </w:pPr>
      <w:r w:rsidRPr="00CF6281">
        <w:rPr>
          <w:lang w:val="en"/>
        </w:rPr>
        <w:t>4</w:t>
      </w:r>
      <w:r w:rsidR="003833BF" w:rsidRPr="00CF6281">
        <w:rPr>
          <w:lang w:val="en"/>
        </w:rPr>
        <w:t>.4.2</w:t>
      </w:r>
      <w:r w:rsidR="003833BF" w:rsidRPr="00CF6281">
        <w:rPr>
          <w:lang w:val="en"/>
        </w:rPr>
        <w:tab/>
      </w:r>
      <w:r w:rsidR="00E04B5A" w:rsidRPr="00CF6281">
        <w:rPr>
          <w:lang w:val="en"/>
        </w:rPr>
        <w:t>C</w:t>
      </w:r>
      <w:r w:rsidR="00EB13F9" w:rsidRPr="00CF6281">
        <w:rPr>
          <w:lang w:val="en"/>
        </w:rPr>
        <w:t xml:space="preserve">riteria </w:t>
      </w:r>
      <w:r w:rsidR="00FF5272">
        <w:rPr>
          <w:lang w:val="en"/>
        </w:rPr>
        <w:t xml:space="preserve">for inviting people to give oral evidence: </w:t>
      </w:r>
    </w:p>
    <w:p w14:paraId="3721A847" w14:textId="53BD5FF2" w:rsidR="007A25F4" w:rsidRPr="00FF5272" w:rsidRDefault="00CF6281" w:rsidP="00FF5272">
      <w:pPr>
        <w:pStyle w:val="ListBullet"/>
        <w:rPr>
          <w:rFonts w:eastAsia="Arial Unicode MS"/>
        </w:rPr>
      </w:pPr>
      <w:r w:rsidRPr="00FF5272">
        <w:rPr>
          <w:rFonts w:eastAsia="Arial Unicode MS"/>
        </w:rPr>
        <w:t>p</w:t>
      </w:r>
      <w:r w:rsidR="00890023" w:rsidRPr="00FF5272">
        <w:rPr>
          <w:rFonts w:eastAsia="Arial Unicode MS"/>
        </w:rPr>
        <w:t xml:space="preserve">atients </w:t>
      </w:r>
      <w:r w:rsidR="00FF5272">
        <w:rPr>
          <w:rFonts w:eastAsia="Arial Unicode MS"/>
        </w:rPr>
        <w:t>with experience of using NHS eye care services, both</w:t>
      </w:r>
      <w:r w:rsidR="00154C58" w:rsidRPr="00FF5272">
        <w:rPr>
          <w:rFonts w:eastAsia="Arial Unicode MS"/>
        </w:rPr>
        <w:t xml:space="preserve"> positive and negative experiences</w:t>
      </w:r>
      <w:r w:rsidR="00FF5272">
        <w:rPr>
          <w:rFonts w:eastAsia="Arial Unicode MS"/>
        </w:rPr>
        <w:t xml:space="preserve"> who have learning that may be more widely applicable to the NHS</w:t>
      </w:r>
      <w:r w:rsidR="00DA0F93" w:rsidRPr="00FF5272">
        <w:rPr>
          <w:rFonts w:eastAsia="Arial Unicode MS"/>
        </w:rPr>
        <w:t xml:space="preserve">, </w:t>
      </w:r>
    </w:p>
    <w:p w14:paraId="6867E414" w14:textId="4A75C216" w:rsidR="00AD596D" w:rsidRPr="00FF5272" w:rsidRDefault="00CF6281" w:rsidP="00FF5272">
      <w:pPr>
        <w:pStyle w:val="ListBullet"/>
        <w:rPr>
          <w:rFonts w:eastAsia="Arial Unicode MS"/>
        </w:rPr>
      </w:pPr>
      <w:r w:rsidRPr="00FF5272">
        <w:t>p</w:t>
      </w:r>
      <w:r w:rsidR="00AD596D" w:rsidRPr="00FF5272">
        <w:t>rofessionals inc</w:t>
      </w:r>
      <w:r w:rsidR="00EF5297" w:rsidRPr="00FF5272">
        <w:t>l</w:t>
      </w:r>
      <w:r w:rsidR="00AD596D" w:rsidRPr="00FF5272">
        <w:t xml:space="preserve">uding practicing clinicians, </w:t>
      </w:r>
      <w:r w:rsidR="00AD596D" w:rsidRPr="00FF5272">
        <w:rPr>
          <w:rFonts w:eastAsia="Arial Unicode MS"/>
        </w:rPr>
        <w:t>commission</w:t>
      </w:r>
      <w:r w:rsidRPr="00FF5272">
        <w:rPr>
          <w:rFonts w:eastAsia="Arial Unicode MS"/>
        </w:rPr>
        <w:t>ers</w:t>
      </w:r>
      <w:r w:rsidR="00AD596D" w:rsidRPr="00FF5272">
        <w:rPr>
          <w:rFonts w:eastAsia="Arial Unicode MS"/>
        </w:rPr>
        <w:t>, patient advocacy</w:t>
      </w:r>
      <w:r w:rsidRPr="00FF5272">
        <w:rPr>
          <w:rFonts w:eastAsia="Arial Unicode MS"/>
        </w:rPr>
        <w:t xml:space="preserve"> organisations</w:t>
      </w:r>
      <w:r w:rsidR="00AD596D" w:rsidRPr="00FF5272">
        <w:rPr>
          <w:rFonts w:eastAsia="Arial Unicode MS"/>
        </w:rPr>
        <w:t>, speakers with experience of current challenges</w:t>
      </w:r>
      <w:r w:rsidR="00B86829" w:rsidRPr="00FF5272">
        <w:rPr>
          <w:rFonts w:eastAsia="Arial Unicode MS"/>
        </w:rPr>
        <w:t xml:space="preserve">, </w:t>
      </w:r>
      <w:r w:rsidR="00AD596D" w:rsidRPr="00FF5272">
        <w:rPr>
          <w:rFonts w:eastAsia="Arial Unicode MS"/>
        </w:rPr>
        <w:t xml:space="preserve">barriers </w:t>
      </w:r>
      <w:r w:rsidR="00B86829" w:rsidRPr="00FF5272">
        <w:rPr>
          <w:rFonts w:eastAsia="Arial Unicode MS"/>
        </w:rPr>
        <w:t xml:space="preserve">and </w:t>
      </w:r>
      <w:r w:rsidR="00AD596D" w:rsidRPr="00FF5272">
        <w:rPr>
          <w:rFonts w:eastAsia="Arial Unicode MS"/>
        </w:rPr>
        <w:t xml:space="preserve">positive outcomes, and </w:t>
      </w:r>
      <w:r w:rsidRPr="00FF5272">
        <w:rPr>
          <w:rFonts w:eastAsia="Arial Unicode MS"/>
        </w:rPr>
        <w:t xml:space="preserve">that </w:t>
      </w:r>
      <w:r w:rsidR="00AD596D" w:rsidRPr="00FF5272">
        <w:rPr>
          <w:rFonts w:eastAsia="Arial Unicode MS"/>
        </w:rPr>
        <w:t>may be more widely applicable to the NHS</w:t>
      </w:r>
      <w:r w:rsidRPr="00FF5272">
        <w:rPr>
          <w:rFonts w:eastAsia="Arial Unicode MS"/>
        </w:rPr>
        <w:t xml:space="preserve">, and </w:t>
      </w:r>
    </w:p>
    <w:p w14:paraId="74A5C262" w14:textId="5222CF0F" w:rsidR="00AD596D" w:rsidRPr="00FF5272" w:rsidRDefault="001823FF" w:rsidP="00FF5272">
      <w:pPr>
        <w:pStyle w:val="ListBullet"/>
      </w:pPr>
      <w:r w:rsidRPr="00FF5272">
        <w:rPr>
          <w:rFonts w:eastAsia="Arial Unicode MS"/>
        </w:rPr>
        <w:t>d</w:t>
      </w:r>
      <w:r w:rsidR="00AD596D" w:rsidRPr="00FF5272">
        <w:rPr>
          <w:rFonts w:eastAsia="Arial Unicode MS"/>
        </w:rPr>
        <w:t xml:space="preserve">emographic and geographical diversity. </w:t>
      </w:r>
    </w:p>
    <w:p w14:paraId="4DB95305" w14:textId="07D11FB9" w:rsidR="00F94E87" w:rsidRPr="00D125A6" w:rsidRDefault="00F94E87" w:rsidP="00F94E87">
      <w:pPr>
        <w:rPr>
          <w:highlight w:val="cyan"/>
        </w:rPr>
      </w:pPr>
    </w:p>
    <w:p w14:paraId="639B72AF" w14:textId="73A56AEC" w:rsidR="00137E46" w:rsidRPr="00CF6281" w:rsidRDefault="00F55B90" w:rsidP="6093ABFA">
      <w:pPr>
        <w:rPr>
          <w:lang w:val="en"/>
        </w:rPr>
      </w:pPr>
      <w:r w:rsidRPr="00CF6281">
        <w:rPr>
          <w:lang w:val="en"/>
        </w:rPr>
        <w:t>4</w:t>
      </w:r>
      <w:r w:rsidR="00AD596D" w:rsidRPr="00CF6281">
        <w:rPr>
          <w:lang w:val="en"/>
        </w:rPr>
        <w:t>.4.3</w:t>
      </w:r>
      <w:r w:rsidR="00AD596D" w:rsidRPr="00CF6281">
        <w:rPr>
          <w:lang w:val="en"/>
        </w:rPr>
        <w:tab/>
      </w:r>
      <w:r w:rsidR="002A3389" w:rsidRPr="00CF6281">
        <w:rPr>
          <w:lang w:val="en"/>
        </w:rPr>
        <w:t xml:space="preserve">Once potential patient speakers </w:t>
      </w:r>
      <w:r w:rsidR="00912C0D" w:rsidRPr="00CF6281">
        <w:rPr>
          <w:lang w:val="en"/>
        </w:rPr>
        <w:t>were identified, the secretariat</w:t>
      </w:r>
      <w:r w:rsidR="0075017A" w:rsidRPr="00CF6281">
        <w:rPr>
          <w:lang w:val="en"/>
        </w:rPr>
        <w:t xml:space="preserve"> </w:t>
      </w:r>
      <w:r w:rsidR="00660CF0" w:rsidRPr="00CF6281">
        <w:rPr>
          <w:lang w:val="en"/>
        </w:rPr>
        <w:t xml:space="preserve">undertook </w:t>
      </w:r>
      <w:r w:rsidR="0075017A" w:rsidRPr="00CF6281">
        <w:rPr>
          <w:lang w:val="en"/>
        </w:rPr>
        <w:t xml:space="preserve">preliminary </w:t>
      </w:r>
      <w:r w:rsidR="00660CF0" w:rsidRPr="00CF6281">
        <w:rPr>
          <w:lang w:val="en"/>
        </w:rPr>
        <w:t xml:space="preserve">interviews to understand </w:t>
      </w:r>
      <w:r w:rsidR="00F30748" w:rsidRPr="00CF6281">
        <w:rPr>
          <w:lang w:val="en"/>
        </w:rPr>
        <w:t xml:space="preserve">people’s </w:t>
      </w:r>
      <w:r w:rsidR="00660CF0" w:rsidRPr="00CF6281">
        <w:rPr>
          <w:lang w:val="en"/>
        </w:rPr>
        <w:t>stories</w:t>
      </w:r>
      <w:r w:rsidR="00CF6281">
        <w:rPr>
          <w:lang w:val="en"/>
        </w:rPr>
        <w:t>. Patients were s</w:t>
      </w:r>
      <w:r w:rsidR="00677F79" w:rsidRPr="00CF6281">
        <w:rPr>
          <w:lang w:val="en"/>
        </w:rPr>
        <w:t xml:space="preserve">ent </w:t>
      </w:r>
      <w:r w:rsidR="00660CF0" w:rsidRPr="00CF6281">
        <w:rPr>
          <w:lang w:val="en"/>
        </w:rPr>
        <w:t xml:space="preserve">notes </w:t>
      </w:r>
      <w:r w:rsidR="001D14C4" w:rsidRPr="00CF6281">
        <w:rPr>
          <w:lang w:val="en"/>
        </w:rPr>
        <w:t xml:space="preserve">on the </w:t>
      </w:r>
      <w:r w:rsidR="00F30748" w:rsidRPr="00CF6281">
        <w:rPr>
          <w:lang w:val="en"/>
        </w:rPr>
        <w:t xml:space="preserve">key </w:t>
      </w:r>
      <w:r w:rsidR="001D14C4" w:rsidRPr="00CF6281">
        <w:rPr>
          <w:lang w:val="en"/>
        </w:rPr>
        <w:t>points they had raised</w:t>
      </w:r>
      <w:r w:rsidR="00843CBD" w:rsidRPr="00CF6281">
        <w:rPr>
          <w:lang w:val="en"/>
        </w:rPr>
        <w:t xml:space="preserve"> </w:t>
      </w:r>
      <w:r w:rsidR="00660CF0" w:rsidRPr="00CF6281">
        <w:rPr>
          <w:lang w:val="en"/>
        </w:rPr>
        <w:t xml:space="preserve">to </w:t>
      </w:r>
      <w:r w:rsidR="001D14C4" w:rsidRPr="00CF6281">
        <w:rPr>
          <w:lang w:val="en"/>
        </w:rPr>
        <w:t xml:space="preserve">assist </w:t>
      </w:r>
      <w:r w:rsidR="00843CBD" w:rsidRPr="00CF6281">
        <w:rPr>
          <w:lang w:val="en"/>
        </w:rPr>
        <w:t xml:space="preserve">them with giving evidence </w:t>
      </w:r>
      <w:r w:rsidR="00660CF0" w:rsidRPr="00CF6281">
        <w:rPr>
          <w:lang w:val="en"/>
        </w:rPr>
        <w:t>with</w:t>
      </w:r>
      <w:r w:rsidR="00CF6281" w:rsidRPr="00CF6281">
        <w:rPr>
          <w:lang w:val="en"/>
        </w:rPr>
        <w:t>in</w:t>
      </w:r>
      <w:r w:rsidR="00660CF0" w:rsidRPr="00CF6281">
        <w:rPr>
          <w:lang w:val="en"/>
        </w:rPr>
        <w:t xml:space="preserve"> the </w:t>
      </w:r>
      <w:r w:rsidR="00843CBD" w:rsidRPr="00CF6281">
        <w:rPr>
          <w:lang w:val="en"/>
        </w:rPr>
        <w:t xml:space="preserve">time-constraints </w:t>
      </w:r>
      <w:r w:rsidR="00660CF0" w:rsidRPr="00CF6281">
        <w:rPr>
          <w:lang w:val="en"/>
        </w:rPr>
        <w:t>of the</w:t>
      </w:r>
      <w:r w:rsidR="00E618C0" w:rsidRPr="00CF6281">
        <w:rPr>
          <w:lang w:val="en"/>
        </w:rPr>
        <w:t>ir</w:t>
      </w:r>
      <w:r w:rsidR="00660CF0" w:rsidRPr="00CF6281">
        <w:rPr>
          <w:lang w:val="en"/>
        </w:rPr>
        <w:t xml:space="preserve"> evidence session slot</w:t>
      </w:r>
      <w:r w:rsidR="00E618C0" w:rsidRPr="00CF6281">
        <w:rPr>
          <w:lang w:val="en"/>
        </w:rPr>
        <w:t xml:space="preserve">; but were free </w:t>
      </w:r>
      <w:r w:rsidR="00F30748" w:rsidRPr="00CF6281">
        <w:rPr>
          <w:lang w:val="en"/>
        </w:rPr>
        <w:t xml:space="preserve">to </w:t>
      </w:r>
      <w:r w:rsidR="00E618C0" w:rsidRPr="00CF6281">
        <w:rPr>
          <w:lang w:val="en"/>
        </w:rPr>
        <w:t xml:space="preserve">raise whatever </w:t>
      </w:r>
      <w:r w:rsidR="00CF6281" w:rsidRPr="00CF6281">
        <w:rPr>
          <w:lang w:val="en"/>
        </w:rPr>
        <w:t xml:space="preserve">points </w:t>
      </w:r>
      <w:r w:rsidR="00E618C0" w:rsidRPr="00CF6281">
        <w:rPr>
          <w:lang w:val="en"/>
        </w:rPr>
        <w:t>they wanted to on the day</w:t>
      </w:r>
      <w:r w:rsidR="00660CF0" w:rsidRPr="00CF6281">
        <w:rPr>
          <w:lang w:val="en"/>
        </w:rPr>
        <w:t>.</w:t>
      </w:r>
    </w:p>
    <w:p w14:paraId="603E35A7" w14:textId="2AC5726B" w:rsidR="00392089" w:rsidRPr="00D125A6" w:rsidRDefault="00392089" w:rsidP="00E0262E">
      <w:pPr>
        <w:rPr>
          <w:highlight w:val="cyan"/>
          <w:lang w:val="en"/>
        </w:rPr>
      </w:pPr>
      <w:r w:rsidRPr="00D125A6">
        <w:rPr>
          <w:highlight w:val="cyan"/>
          <w:lang w:val="en"/>
        </w:rPr>
        <w:t xml:space="preserve"> </w:t>
      </w:r>
    </w:p>
    <w:p w14:paraId="7C9DF945" w14:textId="61D77200" w:rsidR="00E0262E" w:rsidRPr="00CF6281" w:rsidRDefault="6093ABFA" w:rsidP="6093ABFA">
      <w:pPr>
        <w:rPr>
          <w:lang w:val="en"/>
        </w:rPr>
      </w:pPr>
      <w:r w:rsidRPr="00CF6281">
        <w:rPr>
          <w:lang w:val="en"/>
        </w:rPr>
        <w:t xml:space="preserve">4.4.4 </w:t>
      </w:r>
      <w:r w:rsidR="00FF5272">
        <w:rPr>
          <w:lang w:val="en"/>
        </w:rPr>
        <w:t>E</w:t>
      </w:r>
      <w:r w:rsidRPr="00CF6281">
        <w:rPr>
          <w:lang w:val="en"/>
        </w:rPr>
        <w:t>ight patients with a range of eye conditions from across a number of English regions</w:t>
      </w:r>
      <w:r w:rsidR="00CF6281">
        <w:rPr>
          <w:lang w:val="en"/>
        </w:rPr>
        <w:t>;</w:t>
      </w:r>
      <w:r w:rsidRPr="00CF6281">
        <w:rPr>
          <w:lang w:val="en"/>
        </w:rPr>
        <w:t xml:space="preserve"> </w:t>
      </w:r>
      <w:r w:rsidR="00CF6281">
        <w:rPr>
          <w:lang w:val="en"/>
        </w:rPr>
        <w:t xml:space="preserve">and </w:t>
      </w:r>
      <w:r w:rsidRPr="00CF6281">
        <w:rPr>
          <w:lang w:val="en"/>
        </w:rPr>
        <w:t xml:space="preserve">three clinicians, a </w:t>
      </w:r>
      <w:r w:rsidR="00FF5272">
        <w:rPr>
          <w:lang w:val="en"/>
        </w:rPr>
        <w:t xml:space="preserve">commissioner from a </w:t>
      </w:r>
      <w:r w:rsidRPr="00CF6281">
        <w:rPr>
          <w:lang w:val="en"/>
        </w:rPr>
        <w:t xml:space="preserve">Clinical Commissioning Group (CCG), a </w:t>
      </w:r>
      <w:r w:rsidR="00FF5272">
        <w:rPr>
          <w:lang w:val="en"/>
        </w:rPr>
        <w:t xml:space="preserve">manager from a </w:t>
      </w:r>
      <w:r w:rsidRPr="00CF6281">
        <w:rPr>
          <w:lang w:val="en"/>
        </w:rPr>
        <w:t xml:space="preserve">local sight loss charity and </w:t>
      </w:r>
      <w:r w:rsidR="00FA75F0">
        <w:rPr>
          <w:lang w:val="en"/>
        </w:rPr>
        <w:t xml:space="preserve">the </w:t>
      </w:r>
      <w:r w:rsidR="00FF5272">
        <w:rPr>
          <w:lang w:val="en"/>
        </w:rPr>
        <w:t xml:space="preserve">lead clinicians from the </w:t>
      </w:r>
      <w:r w:rsidR="00FA75F0">
        <w:rPr>
          <w:lang w:val="en"/>
        </w:rPr>
        <w:t>Getting It Right First Time</w:t>
      </w:r>
      <w:r w:rsidR="00FF5272">
        <w:rPr>
          <w:lang w:val="en"/>
        </w:rPr>
        <w:t xml:space="preserve"> ophthalmology </w:t>
      </w:r>
      <w:r w:rsidRPr="00CF6281">
        <w:rPr>
          <w:lang w:val="en"/>
        </w:rPr>
        <w:t>programme</w:t>
      </w:r>
      <w:r w:rsidR="00FF5272">
        <w:rPr>
          <w:lang w:val="en"/>
        </w:rPr>
        <w:t xml:space="preserve"> provided oral evidence</w:t>
      </w:r>
      <w:r w:rsidRPr="00CF6281">
        <w:rPr>
          <w:lang w:val="en"/>
        </w:rPr>
        <w:t>. We tried to secure the attendance of an STP but were unable to.</w:t>
      </w:r>
    </w:p>
    <w:p w14:paraId="0AEE4E86" w14:textId="77777777" w:rsidR="00660CF0" w:rsidRDefault="00660CF0" w:rsidP="0074471A">
      <w:pPr>
        <w:rPr>
          <w:rFonts w:eastAsia="Arial"/>
          <w:highlight w:val="cyan"/>
        </w:rPr>
      </w:pPr>
    </w:p>
    <w:p w14:paraId="6894D877" w14:textId="77777777" w:rsidR="00FF5272" w:rsidRPr="00D125A6" w:rsidRDefault="00FF5272" w:rsidP="0074471A">
      <w:pPr>
        <w:rPr>
          <w:rFonts w:eastAsia="Arial"/>
          <w:highlight w:val="cyan"/>
        </w:rPr>
      </w:pPr>
    </w:p>
    <w:p w14:paraId="7D6C0ACC" w14:textId="49E21582" w:rsidR="001A2B82" w:rsidRPr="002E4D4E" w:rsidRDefault="6093ABFA" w:rsidP="6093ABFA">
      <w:pPr>
        <w:pStyle w:val="Heading3"/>
        <w:rPr>
          <w:rFonts w:eastAsia="Arial"/>
        </w:rPr>
      </w:pPr>
      <w:r w:rsidRPr="002E4D4E">
        <w:rPr>
          <w:rFonts w:eastAsia="Arial"/>
        </w:rPr>
        <w:lastRenderedPageBreak/>
        <w:t>Overview of the Inquiry’s evidence-gathering</w:t>
      </w:r>
    </w:p>
    <w:p w14:paraId="5903443D" w14:textId="0B34F155" w:rsidR="009948D2" w:rsidRPr="00D125A6" w:rsidRDefault="009948D2" w:rsidP="009948D2">
      <w:pPr>
        <w:rPr>
          <w:rFonts w:eastAsia="Arial"/>
          <w:highlight w:val="cya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214"/>
        <w:gridCol w:w="2389"/>
        <w:gridCol w:w="1415"/>
        <w:gridCol w:w="1525"/>
      </w:tblGrid>
      <w:tr w:rsidR="001A2B82" w:rsidRPr="00EB5552" w14:paraId="748EAF73" w14:textId="77777777" w:rsidTr="6093ABFA">
        <w:tc>
          <w:tcPr>
            <w:tcW w:w="0" w:type="auto"/>
            <w:shd w:val="clear" w:color="auto" w:fill="auto"/>
          </w:tcPr>
          <w:p w14:paraId="34E721E1" w14:textId="77777777" w:rsidR="001A2B82" w:rsidRPr="00EB5552" w:rsidRDefault="001A2B82" w:rsidP="6093ABFA">
            <w:pPr>
              <w:pStyle w:val="Heading40"/>
              <w:rPr>
                <w:rFonts w:eastAsia="Arial Unicode MS"/>
              </w:rPr>
            </w:pPr>
            <w:r w:rsidRPr="00EB5552">
              <w:rPr>
                <w:rFonts w:eastAsia="Arial Unicode MS"/>
                <w:bdr w:val="nil"/>
              </w:rPr>
              <w:t>Respondent</w:t>
            </w:r>
          </w:p>
        </w:tc>
        <w:tc>
          <w:tcPr>
            <w:tcW w:w="0" w:type="auto"/>
            <w:shd w:val="clear" w:color="auto" w:fill="auto"/>
          </w:tcPr>
          <w:p w14:paraId="220B92A0" w14:textId="77777777" w:rsidR="001A2B82" w:rsidRPr="00EB5552" w:rsidRDefault="001A2B82" w:rsidP="6093ABFA">
            <w:pPr>
              <w:pStyle w:val="Heading40"/>
              <w:rPr>
                <w:rFonts w:eastAsia="Arial Unicode MS"/>
              </w:rPr>
            </w:pPr>
            <w:r w:rsidRPr="00EB5552">
              <w:rPr>
                <w:rFonts w:eastAsia="Arial Unicode MS"/>
                <w:bdr w:val="nil"/>
              </w:rPr>
              <w:t>Patient survey</w:t>
            </w:r>
          </w:p>
        </w:tc>
        <w:tc>
          <w:tcPr>
            <w:tcW w:w="0" w:type="auto"/>
            <w:shd w:val="clear" w:color="auto" w:fill="auto"/>
          </w:tcPr>
          <w:p w14:paraId="3104CE75" w14:textId="3F7D1C37" w:rsidR="001A2B82" w:rsidRPr="00EB5552" w:rsidRDefault="001A2B82" w:rsidP="6093ABFA">
            <w:pPr>
              <w:pStyle w:val="Heading40"/>
              <w:rPr>
                <w:rFonts w:eastAsia="Arial Unicode MS"/>
              </w:rPr>
            </w:pPr>
            <w:r w:rsidRPr="00EB5552">
              <w:rPr>
                <w:rFonts w:eastAsia="Arial Unicode MS"/>
                <w:bdr w:val="nil"/>
              </w:rPr>
              <w:t>Call for evidence (organisations</w:t>
            </w:r>
            <w:r w:rsidR="00ED04B9">
              <w:rPr>
                <w:rFonts w:eastAsia="Arial Unicode MS"/>
                <w:bdr w:val="nil"/>
              </w:rPr>
              <w:t xml:space="preserve"> or people</w:t>
            </w:r>
            <w:r w:rsidRPr="00EB5552">
              <w:rPr>
                <w:rFonts w:eastAsia="Arial Unicode MS"/>
                <w:bdr w:val="nil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2071192D" w14:textId="77777777" w:rsidR="001A2B82" w:rsidRPr="00EB5552" w:rsidRDefault="001A2B82" w:rsidP="6093ABFA">
            <w:pPr>
              <w:pStyle w:val="Heading40"/>
              <w:rPr>
                <w:rFonts w:eastAsia="Arial Unicode MS"/>
              </w:rPr>
            </w:pPr>
            <w:r w:rsidRPr="00EB5552">
              <w:rPr>
                <w:rFonts w:eastAsia="Arial Unicode MS"/>
                <w:bdr w:val="nil"/>
              </w:rPr>
              <w:t>Hearings</w:t>
            </w:r>
          </w:p>
        </w:tc>
        <w:tc>
          <w:tcPr>
            <w:tcW w:w="1525" w:type="dxa"/>
            <w:shd w:val="clear" w:color="auto" w:fill="auto"/>
          </w:tcPr>
          <w:p w14:paraId="2DDF8F71" w14:textId="77777777" w:rsidR="001A2B82" w:rsidRPr="00EB5552" w:rsidRDefault="001A2B82" w:rsidP="6093ABFA">
            <w:pPr>
              <w:pStyle w:val="Heading40"/>
              <w:rPr>
                <w:rFonts w:eastAsia="Arial Unicode MS"/>
              </w:rPr>
            </w:pPr>
            <w:r w:rsidRPr="00EB5552">
              <w:rPr>
                <w:rFonts w:eastAsia="Arial Unicode MS"/>
                <w:bdr w:val="nil"/>
              </w:rPr>
              <w:t>Total</w:t>
            </w:r>
          </w:p>
        </w:tc>
      </w:tr>
      <w:tr w:rsidR="001A2B82" w:rsidRPr="00EB5552" w14:paraId="046C07E0" w14:textId="77777777" w:rsidTr="6093AB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C0F8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lang w:val="en"/>
              </w:rPr>
            </w:pPr>
            <w:r w:rsidRPr="00EB5552">
              <w:rPr>
                <w:rFonts w:eastAsia="Arial Unicode MS"/>
                <w:bdr w:val="none" w:sz="0" w:space="0" w:color="auto" w:frame="1"/>
                <w:lang w:val="en"/>
              </w:rPr>
              <w:t>Patient or patient representative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BD0A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lang w:val="en"/>
              </w:rPr>
            </w:pPr>
            <w:r w:rsidRPr="00EB5552">
              <w:rPr>
                <w:rFonts w:eastAsia="Arial Unicode MS"/>
                <w:bdr w:val="none" w:sz="0" w:space="0" w:color="auto" w:frame="1"/>
                <w:lang w:val="en"/>
              </w:rPr>
              <w:t>557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10566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lang w:val="en"/>
              </w:rPr>
            </w:pPr>
            <w:r w:rsidRPr="00EB5552">
              <w:rPr>
                <w:rFonts w:eastAsia="Arial Unicode MS"/>
                <w:bdr w:val="none" w:sz="0" w:space="0" w:color="auto" w:frame="1"/>
                <w:lang w:val="e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C896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/>
              </w:rPr>
            </w:pPr>
            <w:r w:rsidRPr="00EB5552">
              <w:rPr>
                <w:rFonts w:eastAsia="Arial"/>
                <w:bdr w:val="nil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F49D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/>
              </w:rPr>
            </w:pPr>
            <w:r w:rsidRPr="00EB5552">
              <w:rPr>
                <w:rFonts w:eastAsia="Arial"/>
                <w:bdr w:val="nil"/>
              </w:rPr>
              <w:t>574</w:t>
            </w:r>
          </w:p>
        </w:tc>
      </w:tr>
      <w:tr w:rsidR="001A2B82" w:rsidRPr="00EB5552" w14:paraId="21F3884D" w14:textId="77777777" w:rsidTr="6093AB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D1E0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lang w:val="en"/>
              </w:rPr>
            </w:pPr>
            <w:r w:rsidRPr="00EB5552">
              <w:rPr>
                <w:rFonts w:eastAsia="Arial Unicode MS"/>
                <w:bdr w:val="none" w:sz="0" w:space="0" w:color="auto" w:frame="1"/>
                <w:lang w:val="en"/>
              </w:rPr>
              <w:t>Commissioners, NHS Eye Departments, clinicians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E4C60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lang w:val="en"/>
              </w:rPr>
            </w:pPr>
            <w:r w:rsidRPr="00EB5552">
              <w:rPr>
                <w:rFonts w:eastAsia="Arial Unicode MS"/>
                <w:bdr w:val="none" w:sz="0" w:space="0" w:color="auto" w:frame="1"/>
                <w:lang w:val="e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DC16" w14:textId="76B760EB" w:rsidR="001A2B82" w:rsidRPr="00EB5552" w:rsidRDefault="001A2B82" w:rsidP="00112A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lang w:val="en"/>
              </w:rPr>
            </w:pPr>
            <w:r w:rsidRPr="00EB5552">
              <w:rPr>
                <w:rFonts w:eastAsia="Arial Unicode MS"/>
                <w:bdr w:val="none" w:sz="0" w:space="0" w:color="auto" w:frame="1"/>
                <w:lang w:val="en"/>
              </w:rPr>
              <w:t>46 (</w:t>
            </w:r>
            <w:r w:rsidR="00112A45" w:rsidRPr="00EB5552">
              <w:rPr>
                <w:rFonts w:eastAsia="Arial Unicode MS"/>
                <w:bdr w:val="none" w:sz="0" w:space="0" w:color="auto" w:frame="1"/>
                <w:lang w:val="en"/>
              </w:rPr>
              <w:t>65</w:t>
            </w:r>
            <w:r w:rsidRPr="00EB5552">
              <w:rPr>
                <w:rFonts w:eastAsia="Arial Unicode MS"/>
                <w:bdr w:val="none" w:sz="0" w:space="0" w:color="auto" w:frame="1"/>
                <w:lang w:val="e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1055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/>
              </w:rPr>
            </w:pPr>
            <w:r w:rsidRPr="00EB5552">
              <w:rPr>
                <w:rFonts w:eastAsia="Arial"/>
                <w:bdr w:val="nil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B6CA3" w14:textId="248A6146" w:rsidR="001A2B82" w:rsidRPr="00EB5552" w:rsidRDefault="001A2B82" w:rsidP="00BD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/>
              </w:rPr>
            </w:pPr>
            <w:r w:rsidRPr="00EB5552">
              <w:rPr>
                <w:rFonts w:eastAsia="Arial"/>
                <w:bdr w:val="nil"/>
              </w:rPr>
              <w:t>50 (</w:t>
            </w:r>
            <w:r w:rsidR="00BD6513" w:rsidRPr="00EB5552">
              <w:rPr>
                <w:rFonts w:eastAsia="Arial"/>
                <w:bdr w:val="nil"/>
              </w:rPr>
              <w:t>69</w:t>
            </w:r>
            <w:r w:rsidRPr="00EB5552">
              <w:rPr>
                <w:rFonts w:eastAsia="Arial"/>
                <w:bdr w:val="nil"/>
              </w:rPr>
              <w:t>)</w:t>
            </w:r>
          </w:p>
        </w:tc>
      </w:tr>
      <w:tr w:rsidR="001A2B82" w:rsidRPr="00EB5552" w14:paraId="19959335" w14:textId="77777777" w:rsidTr="6093AB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0B8B5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lang w:val="en"/>
              </w:rPr>
            </w:pPr>
            <w:r w:rsidRPr="00EB5552">
              <w:rPr>
                <w:rFonts w:eastAsia="Arial Unicode MS"/>
                <w:bdr w:val="none" w:sz="0" w:space="0" w:color="auto" w:frame="1"/>
                <w:lang w:val="en"/>
              </w:rPr>
              <w:t>Charities/ umbrella bodies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BD36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lang w:val="en"/>
              </w:rPr>
            </w:pPr>
            <w:r w:rsidRPr="00EB5552">
              <w:rPr>
                <w:rFonts w:eastAsia="Arial Unicode MS"/>
                <w:bdr w:val="none" w:sz="0" w:space="0" w:color="auto" w:frame="1"/>
                <w:lang w:val="e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A911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lang w:val="en"/>
              </w:rPr>
            </w:pPr>
            <w:r w:rsidRPr="00EB5552">
              <w:rPr>
                <w:rFonts w:eastAsia="Arial Unicode MS"/>
                <w:bdr w:val="none" w:sz="0" w:space="0" w:color="auto" w:frame="1"/>
                <w:lang w:val="en"/>
              </w:rPr>
              <w:t>10 (11)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7D31B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/>
              </w:rPr>
            </w:pPr>
            <w:r w:rsidRPr="00EB5552">
              <w:rPr>
                <w:rFonts w:eastAsia="Arial"/>
                <w:bdr w:val="nil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A9C29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/>
              </w:rPr>
            </w:pPr>
            <w:r w:rsidRPr="00EB5552">
              <w:rPr>
                <w:rFonts w:eastAsia="Arial"/>
                <w:bdr w:val="nil"/>
              </w:rPr>
              <w:t>11 (12)</w:t>
            </w:r>
          </w:p>
        </w:tc>
      </w:tr>
      <w:tr w:rsidR="001A2B82" w:rsidRPr="00EB5552" w14:paraId="5261C41B" w14:textId="77777777" w:rsidTr="6093ABFA">
        <w:tc>
          <w:tcPr>
            <w:tcW w:w="0" w:type="auto"/>
            <w:shd w:val="clear" w:color="auto" w:fill="auto"/>
          </w:tcPr>
          <w:p w14:paraId="1A3D2894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/>
              </w:rPr>
            </w:pPr>
            <w:r w:rsidRPr="00EB5552">
              <w:rPr>
                <w:rFonts w:eastAsia="Arial Unicode MS" w:cs="Arial"/>
                <w:color w:val="000000"/>
                <w:bdr w:val="none" w:sz="0" w:space="0" w:color="auto" w:frame="1"/>
              </w:rPr>
              <w:t>STPs</w:t>
            </w:r>
          </w:p>
        </w:tc>
        <w:tc>
          <w:tcPr>
            <w:tcW w:w="0" w:type="auto"/>
            <w:shd w:val="clear" w:color="auto" w:fill="auto"/>
          </w:tcPr>
          <w:p w14:paraId="374A84D1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/>
              </w:rPr>
            </w:pPr>
            <w:r w:rsidRPr="00EB5552">
              <w:rPr>
                <w:rFonts w:eastAsia="Arial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0D6119B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/>
              </w:rPr>
            </w:pPr>
            <w:r w:rsidRPr="00EB5552">
              <w:rPr>
                <w:rFonts w:eastAsia="Arial Unicode MS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F6E2C51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/>
              </w:rPr>
            </w:pPr>
            <w:r w:rsidRPr="00EB5552">
              <w:rPr>
                <w:rFonts w:eastAsia="Arial Unicode MS"/>
                <w:bdr w:val="none" w:sz="0" w:space="0" w:color="auto" w:frame="1"/>
                <w:lang w:val="en"/>
              </w:rPr>
              <w:t>0</w:t>
            </w:r>
          </w:p>
        </w:tc>
        <w:tc>
          <w:tcPr>
            <w:tcW w:w="1525" w:type="dxa"/>
            <w:shd w:val="clear" w:color="auto" w:fill="auto"/>
          </w:tcPr>
          <w:p w14:paraId="70A7046D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/>
              </w:rPr>
            </w:pPr>
            <w:r w:rsidRPr="00EB5552">
              <w:rPr>
                <w:rFonts w:eastAsia="Arial"/>
                <w:bdr w:val="nil"/>
              </w:rPr>
              <w:t>7</w:t>
            </w:r>
          </w:p>
        </w:tc>
      </w:tr>
      <w:tr w:rsidR="001A2B82" w:rsidRPr="00EB5552" w14:paraId="1D14846F" w14:textId="77777777" w:rsidTr="6093AB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190D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lang w:val="en"/>
              </w:rPr>
            </w:pPr>
            <w:r w:rsidRPr="00EB5552">
              <w:rPr>
                <w:rFonts w:eastAsia="Arial Unicode MS"/>
                <w:bdr w:val="none" w:sz="0" w:space="0" w:color="auto" w:frame="1"/>
                <w:lang w:val="en"/>
              </w:rPr>
              <w:t>Professional bodies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6C804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lang w:val="en"/>
              </w:rPr>
            </w:pPr>
            <w:r w:rsidRPr="00EB5552">
              <w:rPr>
                <w:rFonts w:eastAsia="Arial Unicode MS"/>
                <w:bdr w:val="none" w:sz="0" w:space="0" w:color="auto" w:frame="1"/>
                <w:lang w:val="e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EF16" w14:textId="26EBC49B" w:rsidR="001A2B82" w:rsidRPr="00EB5552" w:rsidRDefault="00646B1A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lang w:val="en"/>
              </w:rPr>
            </w:pPr>
            <w:r w:rsidRPr="00EB5552">
              <w:rPr>
                <w:rFonts w:eastAsia="Arial Unicode MS"/>
                <w:bdr w:val="none" w:sz="0" w:space="0" w:color="auto" w:frame="1"/>
                <w:lang w:val="en"/>
              </w:rPr>
              <w:t>5</w:t>
            </w:r>
            <w:r w:rsidR="00FA0B67" w:rsidRPr="00EB5552">
              <w:rPr>
                <w:rFonts w:eastAsia="Arial Unicode MS"/>
                <w:bdr w:val="none" w:sz="0" w:space="0" w:color="auto" w:frame="1"/>
                <w:lang w:val="en"/>
              </w:rPr>
              <w:t xml:space="preserve"> 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7EA39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/>
              </w:rPr>
            </w:pPr>
            <w:r w:rsidRPr="00EB5552">
              <w:rPr>
                <w:rFonts w:eastAsia="Arial"/>
                <w:bdr w:val="nil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14E45" w14:textId="378FC693" w:rsidR="001A2B82" w:rsidRPr="00EB5552" w:rsidRDefault="00646B1A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/>
              </w:rPr>
            </w:pPr>
            <w:r w:rsidRPr="00EB5552">
              <w:rPr>
                <w:rFonts w:eastAsia="Arial"/>
                <w:bdr w:val="nil"/>
              </w:rPr>
              <w:t>5</w:t>
            </w:r>
            <w:r w:rsidR="00FA0B67" w:rsidRPr="00EB5552">
              <w:rPr>
                <w:rFonts w:eastAsia="Arial"/>
                <w:bdr w:val="nil"/>
              </w:rPr>
              <w:t xml:space="preserve"> (6)</w:t>
            </w:r>
          </w:p>
        </w:tc>
      </w:tr>
      <w:tr w:rsidR="001A2B82" w:rsidRPr="00EB5552" w14:paraId="494BEFCE" w14:textId="77777777" w:rsidTr="6093AB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6839" w14:textId="66681EDD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lang w:val="en"/>
              </w:rPr>
            </w:pPr>
            <w:r w:rsidRPr="00EB5552">
              <w:rPr>
                <w:rFonts w:eastAsia="Arial Unicode MS"/>
                <w:bdr w:val="none" w:sz="0" w:space="0" w:color="auto" w:frame="1"/>
                <w:lang w:val="en"/>
              </w:rPr>
              <w:t>Government/ national bodies</w:t>
            </w:r>
            <w:r w:rsidR="008D6993" w:rsidRPr="00EB5552">
              <w:rPr>
                <w:rFonts w:eastAsia="Arial Unicode MS"/>
                <w:bdr w:val="none" w:sz="0" w:space="0" w:color="auto" w:frame="1"/>
                <w:lang w:val="en"/>
              </w:rPr>
              <w:t>/ initiatives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1AA3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lang w:val="en"/>
              </w:rPr>
            </w:pPr>
            <w:r w:rsidRPr="00EB5552">
              <w:rPr>
                <w:rFonts w:eastAsia="Arial Unicode MS"/>
                <w:bdr w:val="none" w:sz="0" w:space="0" w:color="auto" w:frame="1"/>
                <w:lang w:val="e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C771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lang w:val="en"/>
              </w:rPr>
            </w:pPr>
            <w:r w:rsidRPr="00EB5552">
              <w:rPr>
                <w:rFonts w:eastAsia="Arial Unicode MS"/>
                <w:bdr w:val="none" w:sz="0" w:space="0" w:color="auto" w:frame="1"/>
                <w:lang w:val="e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06ED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/>
              </w:rPr>
            </w:pPr>
            <w:r w:rsidRPr="00EB5552">
              <w:rPr>
                <w:rFonts w:eastAsia="Arial"/>
                <w:bdr w:val="nil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99E0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/>
              </w:rPr>
            </w:pPr>
            <w:r w:rsidRPr="00EB5552">
              <w:rPr>
                <w:rFonts w:eastAsia="Arial"/>
                <w:bdr w:val="nil"/>
              </w:rPr>
              <w:t>5</w:t>
            </w:r>
          </w:p>
        </w:tc>
      </w:tr>
      <w:tr w:rsidR="001A2B82" w:rsidRPr="00EB5552" w14:paraId="2253A510" w14:textId="77777777" w:rsidTr="6093AB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8BFB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lang w:val="en"/>
              </w:rPr>
            </w:pPr>
            <w:r w:rsidRPr="00EB5552">
              <w:rPr>
                <w:rFonts w:eastAsia="Arial Unicode MS"/>
                <w:bdr w:val="none" w:sz="0" w:space="0" w:color="auto" w:frame="1"/>
                <w:lang w:val="en"/>
              </w:rPr>
              <w:t>Healthcare/ pharmaceutical industry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BD00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lang w:val="en"/>
              </w:rPr>
            </w:pPr>
            <w:r w:rsidRPr="00EB5552">
              <w:rPr>
                <w:rFonts w:eastAsia="Arial Unicode MS"/>
                <w:bdr w:val="none" w:sz="0" w:space="0" w:color="auto" w:frame="1"/>
                <w:lang w:val="e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9846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lang w:val="en"/>
              </w:rPr>
            </w:pPr>
            <w:r w:rsidRPr="00EB5552">
              <w:rPr>
                <w:rFonts w:eastAsia="Arial Unicode MS"/>
                <w:bdr w:val="none" w:sz="0" w:space="0" w:color="auto" w:frame="1"/>
                <w:lang w:val="e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6A41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/>
              </w:rPr>
            </w:pPr>
            <w:r w:rsidRPr="00EB5552">
              <w:rPr>
                <w:rFonts w:eastAsia="Arial"/>
                <w:bdr w:val="nil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1BA0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/>
              </w:rPr>
            </w:pPr>
            <w:r w:rsidRPr="00EB5552">
              <w:rPr>
                <w:rFonts w:eastAsia="Arial"/>
                <w:bdr w:val="nil"/>
              </w:rPr>
              <w:t>4</w:t>
            </w:r>
          </w:p>
        </w:tc>
      </w:tr>
      <w:tr w:rsidR="001A2B82" w:rsidRPr="00EB5552" w14:paraId="75BD6F30" w14:textId="77777777" w:rsidTr="6093AB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2BC7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lang w:val="en"/>
              </w:rPr>
            </w:pPr>
            <w:r w:rsidRPr="00EB5552">
              <w:rPr>
                <w:rFonts w:eastAsia="Arial Unicode MS"/>
                <w:bdr w:val="none" w:sz="0" w:space="0" w:color="auto" w:frame="1"/>
                <w:lang w:val="en"/>
              </w:rPr>
              <w:t>Local Eye Health Networks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70C0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lang w:val="en"/>
              </w:rPr>
            </w:pPr>
            <w:r w:rsidRPr="00EB5552">
              <w:rPr>
                <w:rFonts w:eastAsia="Arial Unicode MS"/>
                <w:bdr w:val="none" w:sz="0" w:space="0" w:color="auto" w:frame="1"/>
                <w:lang w:val="e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282E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lang w:val="en"/>
              </w:rPr>
            </w:pPr>
            <w:r w:rsidRPr="00EB5552">
              <w:rPr>
                <w:rFonts w:eastAsia="Arial Unicode MS"/>
                <w:bdr w:val="none" w:sz="0" w:space="0" w:color="auto" w:frame="1"/>
                <w:lang w:val="e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298F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/>
              </w:rPr>
            </w:pPr>
            <w:r w:rsidRPr="00EB5552">
              <w:rPr>
                <w:rFonts w:eastAsia="Arial"/>
                <w:bdr w:val="nil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09F2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/>
              </w:rPr>
            </w:pPr>
            <w:r w:rsidRPr="00EB5552">
              <w:rPr>
                <w:rFonts w:eastAsia="Arial"/>
                <w:bdr w:val="nil"/>
              </w:rPr>
              <w:t>4</w:t>
            </w:r>
          </w:p>
        </w:tc>
      </w:tr>
      <w:tr w:rsidR="001A2B82" w:rsidRPr="00EB5552" w14:paraId="789466EF" w14:textId="77777777" w:rsidTr="6093AB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F8250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lang w:val="en"/>
              </w:rPr>
            </w:pPr>
            <w:r w:rsidRPr="00EB5552">
              <w:rPr>
                <w:rFonts w:eastAsia="Arial Unicode MS"/>
                <w:bdr w:val="none" w:sz="0" w:space="0" w:color="auto" w:frame="1"/>
                <w:lang w:val="en"/>
              </w:rPr>
              <w:t>Local Optical Committees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3D43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lang w:val="en"/>
              </w:rPr>
            </w:pPr>
            <w:r w:rsidRPr="00EB5552">
              <w:rPr>
                <w:rFonts w:eastAsia="Arial Unicode MS"/>
                <w:bdr w:val="none" w:sz="0" w:space="0" w:color="auto" w:frame="1"/>
                <w:lang w:val="e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F31B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lang w:val="en"/>
              </w:rPr>
            </w:pPr>
            <w:r w:rsidRPr="00EB5552">
              <w:rPr>
                <w:rFonts w:eastAsia="Arial Unicode MS"/>
                <w:bdr w:val="none" w:sz="0" w:space="0" w:color="auto" w:frame="1"/>
                <w:lang w:val="e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1C64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/>
              </w:rPr>
            </w:pPr>
            <w:r w:rsidRPr="00EB5552">
              <w:rPr>
                <w:rFonts w:eastAsia="Arial"/>
                <w:bdr w:val="nil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EA0A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/>
              </w:rPr>
            </w:pPr>
            <w:r w:rsidRPr="00EB5552">
              <w:rPr>
                <w:rFonts w:eastAsia="Arial"/>
                <w:bdr w:val="nil"/>
              </w:rPr>
              <w:t>1</w:t>
            </w:r>
          </w:p>
        </w:tc>
      </w:tr>
      <w:tr w:rsidR="001A2B82" w:rsidRPr="00EB5552" w14:paraId="07D34645" w14:textId="77777777" w:rsidTr="6093ABFA">
        <w:tc>
          <w:tcPr>
            <w:tcW w:w="0" w:type="auto"/>
            <w:shd w:val="clear" w:color="auto" w:fill="auto"/>
          </w:tcPr>
          <w:p w14:paraId="703DCED7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/>
              </w:rPr>
            </w:pPr>
            <w:r w:rsidRPr="00EB5552">
              <w:rPr>
                <w:rFonts w:eastAsia="Arial Unicode MS"/>
                <w:bdr w:val="none" w:sz="0" w:space="0" w:color="auto" w:frame="1"/>
                <w:lang w:val="en"/>
              </w:rPr>
              <w:t>Universities</w:t>
            </w:r>
          </w:p>
        </w:tc>
        <w:tc>
          <w:tcPr>
            <w:tcW w:w="0" w:type="auto"/>
            <w:shd w:val="clear" w:color="auto" w:fill="auto"/>
          </w:tcPr>
          <w:p w14:paraId="0E34FD3A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/>
              </w:rPr>
            </w:pPr>
            <w:r w:rsidRPr="00EB5552">
              <w:rPr>
                <w:rFonts w:eastAsia="Arial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1E35BEF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/>
              </w:rPr>
            </w:pPr>
            <w:r w:rsidRPr="00EB5552">
              <w:rPr>
                <w:rFonts w:eastAsia="Arial Unicode MS"/>
                <w:bdr w:val="none" w:sz="0" w:space="0" w:color="auto" w:frame="1"/>
                <w:lang w:val="e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A4AACB4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/>
              </w:rPr>
            </w:pPr>
            <w:r w:rsidRPr="00EB5552">
              <w:rPr>
                <w:rFonts w:eastAsia="Arial"/>
                <w:bdr w:val="nil"/>
              </w:rPr>
              <w:t>0</w:t>
            </w:r>
          </w:p>
        </w:tc>
        <w:tc>
          <w:tcPr>
            <w:tcW w:w="1525" w:type="dxa"/>
            <w:shd w:val="clear" w:color="auto" w:fill="auto"/>
          </w:tcPr>
          <w:p w14:paraId="0DD036CE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/>
              </w:rPr>
            </w:pPr>
            <w:r w:rsidRPr="00EB5552">
              <w:rPr>
                <w:rFonts w:eastAsia="Arial"/>
                <w:bdr w:val="nil"/>
              </w:rPr>
              <w:t>1</w:t>
            </w:r>
          </w:p>
        </w:tc>
      </w:tr>
      <w:tr w:rsidR="001A2B82" w:rsidRPr="00EB5552" w14:paraId="3F03AD50" w14:textId="77777777" w:rsidTr="6093ABFA">
        <w:tc>
          <w:tcPr>
            <w:tcW w:w="0" w:type="auto"/>
            <w:shd w:val="clear" w:color="auto" w:fill="auto"/>
          </w:tcPr>
          <w:p w14:paraId="4F3B78D7" w14:textId="1F159635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/>
                <w:b/>
                <w:bCs/>
              </w:rPr>
            </w:pPr>
            <w:r w:rsidRPr="00EB5552">
              <w:rPr>
                <w:rFonts w:eastAsia="Arial Unicode MS"/>
                <w:b/>
                <w:bCs/>
                <w:bdr w:val="none" w:sz="0" w:space="0" w:color="auto" w:frame="1"/>
                <w:lang w:val="en"/>
              </w:rPr>
              <w:t>Total</w:t>
            </w:r>
            <w:r w:rsidR="003062AE" w:rsidRPr="00EB5552">
              <w:rPr>
                <w:rFonts w:eastAsia="Arial Unicode MS"/>
                <w:b/>
                <w:bCs/>
                <w:bdr w:val="none" w:sz="0" w:space="0" w:color="auto" w:frame="1"/>
                <w:lang w:val="en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3797BDA7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/>
                <w:b/>
                <w:bCs/>
              </w:rPr>
            </w:pPr>
            <w:r w:rsidRPr="00EB5552">
              <w:rPr>
                <w:rFonts w:eastAsia="Arial Unicode MS"/>
                <w:b/>
                <w:bCs/>
                <w:bdr w:val="none" w:sz="0" w:space="0" w:color="auto" w:frame="1"/>
                <w:lang w:val="en"/>
              </w:rPr>
              <w:t>557</w:t>
            </w:r>
          </w:p>
        </w:tc>
        <w:tc>
          <w:tcPr>
            <w:tcW w:w="0" w:type="auto"/>
            <w:shd w:val="clear" w:color="auto" w:fill="auto"/>
          </w:tcPr>
          <w:p w14:paraId="53537893" w14:textId="054ADF54" w:rsidR="001A2B82" w:rsidRPr="00EB5552" w:rsidRDefault="008715A2" w:rsidP="008715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/>
                <w:b/>
                <w:bCs/>
              </w:rPr>
            </w:pPr>
            <w:r w:rsidRPr="00EB5552">
              <w:rPr>
                <w:rFonts w:eastAsia="Arial Unicode MS"/>
                <w:b/>
                <w:bCs/>
                <w:bdr w:val="none" w:sz="0" w:space="0" w:color="auto" w:frame="1"/>
                <w:lang w:val="en"/>
              </w:rPr>
              <w:t xml:space="preserve">91 </w:t>
            </w:r>
            <w:r w:rsidR="001A2B82" w:rsidRPr="00EB5552">
              <w:rPr>
                <w:rFonts w:eastAsia="Arial Unicode MS"/>
                <w:b/>
                <w:bCs/>
                <w:bdr w:val="none" w:sz="0" w:space="0" w:color="auto" w:frame="1"/>
                <w:lang w:val="en"/>
              </w:rPr>
              <w:t>(</w:t>
            </w:r>
            <w:r w:rsidRPr="00EB5552">
              <w:rPr>
                <w:rFonts w:eastAsia="Arial Unicode MS"/>
                <w:b/>
                <w:bCs/>
                <w:bdr w:val="none" w:sz="0" w:space="0" w:color="auto" w:frame="1"/>
                <w:lang w:val="en"/>
              </w:rPr>
              <w:t>112</w:t>
            </w:r>
            <w:r w:rsidR="001A2B82" w:rsidRPr="00EB5552">
              <w:rPr>
                <w:rFonts w:eastAsia="Arial Unicode MS"/>
                <w:b/>
                <w:bCs/>
                <w:bdr w:val="none" w:sz="0" w:space="0" w:color="auto" w:frame="1"/>
                <w:lang w:val="e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4456F20" w14:textId="77777777" w:rsidR="001A2B82" w:rsidRPr="00EB5552" w:rsidRDefault="001A2B82" w:rsidP="6093A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/>
                <w:b/>
                <w:bCs/>
              </w:rPr>
            </w:pPr>
            <w:r w:rsidRPr="00EB5552">
              <w:rPr>
                <w:rFonts w:eastAsia="Arial"/>
                <w:b/>
                <w:bCs/>
                <w:bdr w:val="nil"/>
              </w:rPr>
              <w:t>14</w:t>
            </w:r>
          </w:p>
        </w:tc>
        <w:tc>
          <w:tcPr>
            <w:tcW w:w="1525" w:type="dxa"/>
            <w:shd w:val="clear" w:color="auto" w:fill="auto"/>
          </w:tcPr>
          <w:p w14:paraId="36C502A8" w14:textId="4512AEAD" w:rsidR="001A2B82" w:rsidRPr="00EB5552" w:rsidRDefault="0005043C" w:rsidP="00A41D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/>
                <w:b/>
                <w:bCs/>
              </w:rPr>
            </w:pPr>
            <w:r w:rsidRPr="00EB5552">
              <w:rPr>
                <w:rFonts w:eastAsia="Arial"/>
                <w:b/>
                <w:bCs/>
                <w:bdr w:val="nil"/>
              </w:rPr>
              <w:t>662</w:t>
            </w:r>
            <w:r w:rsidR="00826DD8" w:rsidRPr="00EB5552">
              <w:rPr>
                <w:rFonts w:eastAsia="Arial"/>
                <w:b/>
                <w:bCs/>
                <w:bdr w:val="nil"/>
              </w:rPr>
              <w:t xml:space="preserve"> </w:t>
            </w:r>
            <w:r w:rsidR="001A2B82" w:rsidRPr="00EB5552">
              <w:rPr>
                <w:rFonts w:eastAsia="Arial"/>
                <w:b/>
                <w:bCs/>
                <w:bdr w:val="nil"/>
              </w:rPr>
              <w:t>(</w:t>
            </w:r>
            <w:r w:rsidR="00A41D56" w:rsidRPr="00EB5552">
              <w:rPr>
                <w:rFonts w:eastAsia="Arial"/>
                <w:b/>
                <w:bCs/>
                <w:bdr w:val="nil"/>
              </w:rPr>
              <w:t>683</w:t>
            </w:r>
            <w:r w:rsidR="001A2B82" w:rsidRPr="00EB5552">
              <w:rPr>
                <w:rFonts w:eastAsia="Arial"/>
                <w:b/>
                <w:bCs/>
                <w:bdr w:val="nil"/>
              </w:rPr>
              <w:t>)</w:t>
            </w:r>
          </w:p>
        </w:tc>
      </w:tr>
    </w:tbl>
    <w:p w14:paraId="0B1CBE71" w14:textId="77777777" w:rsidR="001A2B82" w:rsidRDefault="001A2B82" w:rsidP="001A2B82">
      <w:pPr>
        <w:rPr>
          <w:rFonts w:eastAsia="Arial"/>
          <w:highlight w:val="cyan"/>
        </w:rPr>
      </w:pPr>
    </w:p>
    <w:p w14:paraId="46D85893" w14:textId="77777777" w:rsidR="00C53AC9" w:rsidRPr="00C53AC9" w:rsidRDefault="00C53AC9" w:rsidP="00C53AC9">
      <w:pPr>
        <w:rPr>
          <w:rFonts w:eastAsia="Arial"/>
        </w:rPr>
      </w:pPr>
    </w:p>
    <w:p w14:paraId="6DC32CA2" w14:textId="45E601B2" w:rsidR="009E6501" w:rsidRPr="00EB5552" w:rsidRDefault="6093ABFA" w:rsidP="6093ABFA">
      <w:pPr>
        <w:pStyle w:val="Heading3"/>
        <w:rPr>
          <w:rFonts w:eastAsia="Arial"/>
        </w:rPr>
      </w:pPr>
      <w:r w:rsidRPr="00EB5552">
        <w:rPr>
          <w:rFonts w:eastAsia="Arial"/>
        </w:rPr>
        <w:t>Analysis</w:t>
      </w:r>
    </w:p>
    <w:p w14:paraId="223EEF30" w14:textId="371E493B" w:rsidR="0027287F" w:rsidRPr="00EB5552" w:rsidRDefault="00A03F59" w:rsidP="6093ABFA">
      <w:pPr>
        <w:rPr>
          <w:lang w:val="en"/>
        </w:rPr>
      </w:pPr>
      <w:r w:rsidRPr="00EB5552">
        <w:rPr>
          <w:lang w:val="en"/>
        </w:rPr>
        <w:t>4</w:t>
      </w:r>
      <w:r w:rsidR="009948D2" w:rsidRPr="00EB5552">
        <w:rPr>
          <w:lang w:val="en"/>
        </w:rPr>
        <w:t>.</w:t>
      </w:r>
      <w:r w:rsidR="00C53AC9">
        <w:rPr>
          <w:lang w:val="en"/>
        </w:rPr>
        <w:t>6</w:t>
      </w:r>
      <w:r w:rsidR="00410C14" w:rsidRPr="00EB5552">
        <w:rPr>
          <w:lang w:val="en"/>
        </w:rPr>
        <w:t>.1</w:t>
      </w:r>
      <w:r w:rsidR="00410C14" w:rsidRPr="00EB5552">
        <w:rPr>
          <w:lang w:val="en"/>
        </w:rPr>
        <w:tab/>
      </w:r>
      <w:r w:rsidR="00C117EF" w:rsidRPr="00EB5552">
        <w:rPr>
          <w:lang w:val="en"/>
        </w:rPr>
        <w:t xml:space="preserve">The secretariat collated the </w:t>
      </w:r>
      <w:r w:rsidR="00CA1484" w:rsidRPr="00EB5552">
        <w:rPr>
          <w:lang w:val="en"/>
        </w:rPr>
        <w:t>results of the patient survey and submissions to the call for evidence, and proposed to share the submissions in full with the Expert Advisory Group</w:t>
      </w:r>
      <w:r w:rsidR="00CE11B2">
        <w:rPr>
          <w:lang w:val="en"/>
        </w:rPr>
        <w:t>;</w:t>
      </w:r>
      <w:r w:rsidR="00CA1484" w:rsidRPr="00EB5552">
        <w:rPr>
          <w:lang w:val="en"/>
        </w:rPr>
        <w:t xml:space="preserve"> or to summarise the evidence in a series of papers and </w:t>
      </w:r>
      <w:r w:rsidR="00C117EF" w:rsidRPr="00EB5552">
        <w:rPr>
          <w:lang w:val="en"/>
        </w:rPr>
        <w:t xml:space="preserve">present </w:t>
      </w:r>
      <w:r w:rsidR="00CA1484" w:rsidRPr="00EB5552">
        <w:rPr>
          <w:lang w:val="en"/>
        </w:rPr>
        <w:t>them to the group to consider. The latter approach was agreed</w:t>
      </w:r>
      <w:r w:rsidR="00CE11B2">
        <w:rPr>
          <w:lang w:val="en"/>
        </w:rPr>
        <w:t>,</w:t>
      </w:r>
      <w:r w:rsidR="00CA1484" w:rsidRPr="00EB5552">
        <w:rPr>
          <w:lang w:val="en"/>
        </w:rPr>
        <w:t xml:space="preserve"> </w:t>
      </w:r>
      <w:r w:rsidR="00945560" w:rsidRPr="00EB5552">
        <w:rPr>
          <w:lang w:val="en"/>
        </w:rPr>
        <w:t>with</w:t>
      </w:r>
      <w:r w:rsidR="00CA1484" w:rsidRPr="00EB5552">
        <w:rPr>
          <w:lang w:val="en"/>
        </w:rPr>
        <w:t xml:space="preserve"> the </w:t>
      </w:r>
      <w:r w:rsidR="00945560" w:rsidRPr="00EB5552">
        <w:rPr>
          <w:lang w:val="en"/>
        </w:rPr>
        <w:t xml:space="preserve">secretariat producing </w:t>
      </w:r>
      <w:r w:rsidR="00CE11B2">
        <w:rPr>
          <w:lang w:val="en"/>
        </w:rPr>
        <w:t xml:space="preserve">summary </w:t>
      </w:r>
      <w:r w:rsidR="00945560" w:rsidRPr="00EB5552">
        <w:rPr>
          <w:lang w:val="en"/>
        </w:rPr>
        <w:t xml:space="preserve">evidence papers to capture the range of respondents’ information and perspectives and </w:t>
      </w:r>
      <w:r w:rsidR="00CE11B2">
        <w:rPr>
          <w:lang w:val="en"/>
        </w:rPr>
        <w:t xml:space="preserve">to </w:t>
      </w:r>
      <w:r w:rsidR="00945560" w:rsidRPr="00EB5552">
        <w:rPr>
          <w:lang w:val="en"/>
        </w:rPr>
        <w:t xml:space="preserve">identify key trends and themes. </w:t>
      </w:r>
      <w:r w:rsidR="0027287F" w:rsidRPr="00EB5552">
        <w:rPr>
          <w:lang w:val="en"/>
        </w:rPr>
        <w:t xml:space="preserve">The papers </w:t>
      </w:r>
      <w:r w:rsidR="001421E8" w:rsidRPr="00EB5552">
        <w:rPr>
          <w:lang w:val="en"/>
        </w:rPr>
        <w:t xml:space="preserve">were </w:t>
      </w:r>
      <w:r w:rsidR="009814A0" w:rsidRPr="00EB5552">
        <w:rPr>
          <w:lang w:val="en"/>
        </w:rPr>
        <w:t xml:space="preserve">grouped </w:t>
      </w:r>
      <w:r w:rsidR="001421E8" w:rsidRPr="00EB5552">
        <w:rPr>
          <w:lang w:val="en"/>
        </w:rPr>
        <w:t xml:space="preserve">around </w:t>
      </w:r>
      <w:r w:rsidR="00A8530C" w:rsidRPr="00EB5552">
        <w:rPr>
          <w:lang w:val="en"/>
        </w:rPr>
        <w:t>particular questions</w:t>
      </w:r>
      <w:r w:rsidR="00E04811" w:rsidRPr="00EB5552">
        <w:rPr>
          <w:lang w:val="en"/>
        </w:rPr>
        <w:t xml:space="preserve"> (e.g.</w:t>
      </w:r>
      <w:r w:rsidR="008A15A1" w:rsidRPr="00EB5552">
        <w:rPr>
          <w:lang w:val="en"/>
        </w:rPr>
        <w:t xml:space="preserve"> </w:t>
      </w:r>
      <w:r w:rsidR="001421E8" w:rsidRPr="00EB5552">
        <w:rPr>
          <w:lang w:val="en"/>
        </w:rPr>
        <w:t>‘a</w:t>
      </w:r>
      <w:r w:rsidR="001421E8" w:rsidRPr="00EB5552">
        <w:t xml:space="preserve">ssessing the eye health needs of local </w:t>
      </w:r>
      <w:r w:rsidR="001421E8" w:rsidRPr="00EB5552">
        <w:lastRenderedPageBreak/>
        <w:t>populations’</w:t>
      </w:r>
      <w:r w:rsidR="00E04811" w:rsidRPr="00EB5552">
        <w:t>)</w:t>
      </w:r>
      <w:r w:rsidR="008A15A1" w:rsidRPr="00EB5552">
        <w:t xml:space="preserve"> which </w:t>
      </w:r>
      <w:r w:rsidR="00E04811" w:rsidRPr="00EB5552">
        <w:t>were</w:t>
      </w:r>
      <w:r w:rsidR="008A15A1" w:rsidRPr="00EB5552">
        <w:t xml:space="preserve"> asked </w:t>
      </w:r>
      <w:r w:rsidR="00735E1A" w:rsidRPr="00EB5552">
        <w:t xml:space="preserve">to </w:t>
      </w:r>
      <w:r w:rsidR="00E04811" w:rsidRPr="00EB5552">
        <w:t>different s</w:t>
      </w:r>
      <w:r w:rsidR="00735E1A" w:rsidRPr="00EB5552">
        <w:t>ectors</w:t>
      </w:r>
      <w:r w:rsidR="00F55214" w:rsidRPr="00EB5552">
        <w:t xml:space="preserve">. </w:t>
      </w:r>
      <w:r w:rsidR="001421E8" w:rsidRPr="00EB5552">
        <w:t xml:space="preserve">A </w:t>
      </w:r>
      <w:r w:rsidR="000235DC">
        <w:t xml:space="preserve">written </w:t>
      </w:r>
      <w:r w:rsidR="000235DC">
        <w:rPr>
          <w:lang w:val="en"/>
        </w:rPr>
        <w:t>record</w:t>
      </w:r>
      <w:r w:rsidR="009D2A5C" w:rsidRPr="00EB5552">
        <w:rPr>
          <w:lang w:val="en"/>
        </w:rPr>
        <w:t xml:space="preserve"> of the </w:t>
      </w:r>
      <w:r w:rsidR="001421E8" w:rsidRPr="00EB5552">
        <w:rPr>
          <w:lang w:val="en"/>
        </w:rPr>
        <w:t>o</w:t>
      </w:r>
      <w:r w:rsidR="009D2A5C" w:rsidRPr="00EB5552">
        <w:rPr>
          <w:lang w:val="en"/>
        </w:rPr>
        <w:t xml:space="preserve">ral </w:t>
      </w:r>
      <w:r w:rsidR="001421E8" w:rsidRPr="00EB5552">
        <w:rPr>
          <w:lang w:val="en"/>
        </w:rPr>
        <w:t>e</w:t>
      </w:r>
      <w:r w:rsidR="009D2A5C" w:rsidRPr="00EB5552">
        <w:rPr>
          <w:lang w:val="en"/>
        </w:rPr>
        <w:t xml:space="preserve">vidence sessions was also produced. </w:t>
      </w:r>
      <w:r w:rsidR="00C53AC9">
        <w:rPr>
          <w:lang w:val="en"/>
        </w:rPr>
        <w:t>These papers have been collated and are availabl</w:t>
      </w:r>
      <w:r w:rsidR="002B221C">
        <w:rPr>
          <w:lang w:val="en"/>
        </w:rPr>
        <w:t xml:space="preserve">e online at </w:t>
      </w:r>
      <w:hyperlink r:id="rId12" w:history="1">
        <w:r w:rsidR="002B221C" w:rsidRPr="004D4C80">
          <w:rPr>
            <w:rStyle w:val="Hyperlink"/>
            <w:lang w:val="en"/>
          </w:rPr>
          <w:t>www.rnib.org.uk/appginquiry</w:t>
        </w:r>
      </w:hyperlink>
      <w:r w:rsidR="002B221C">
        <w:rPr>
          <w:lang w:val="en"/>
        </w:rPr>
        <w:t xml:space="preserve"> .</w:t>
      </w:r>
    </w:p>
    <w:p w14:paraId="14C18845" w14:textId="77777777" w:rsidR="0027287F" w:rsidRPr="00EB5552" w:rsidRDefault="0027287F" w:rsidP="6093ABFA">
      <w:pPr>
        <w:rPr>
          <w:lang w:val="en"/>
        </w:rPr>
      </w:pPr>
    </w:p>
    <w:p w14:paraId="35D696E6" w14:textId="576FE80A" w:rsidR="001B7853" w:rsidRPr="00AE4903" w:rsidRDefault="0027287F" w:rsidP="002B221C">
      <w:r w:rsidRPr="00AE4903">
        <w:rPr>
          <w:lang w:val="en"/>
        </w:rPr>
        <w:t>4.</w:t>
      </w:r>
      <w:r w:rsidR="00C53AC9">
        <w:rPr>
          <w:lang w:val="en"/>
        </w:rPr>
        <w:t>6</w:t>
      </w:r>
      <w:r w:rsidRPr="00AE4903">
        <w:rPr>
          <w:lang w:val="en"/>
        </w:rPr>
        <w:t>.2</w:t>
      </w:r>
      <w:r w:rsidRPr="00AE4903">
        <w:rPr>
          <w:lang w:val="en"/>
        </w:rPr>
        <w:tab/>
      </w:r>
      <w:r w:rsidR="002B221C">
        <w:rPr>
          <w:lang w:val="en"/>
        </w:rPr>
        <w:t>Reviewing the evidence the</w:t>
      </w:r>
      <w:r w:rsidR="009D2A5C" w:rsidRPr="00AE4903">
        <w:rPr>
          <w:lang w:val="en"/>
        </w:rPr>
        <w:t xml:space="preserve"> </w:t>
      </w:r>
      <w:r w:rsidR="001421E8" w:rsidRPr="00AE4903">
        <w:rPr>
          <w:lang w:val="en"/>
        </w:rPr>
        <w:t>Expert Advisory G</w:t>
      </w:r>
      <w:r w:rsidR="009D2A5C" w:rsidRPr="00AE4903">
        <w:rPr>
          <w:lang w:val="en"/>
        </w:rPr>
        <w:t xml:space="preserve">roup </w:t>
      </w:r>
      <w:r w:rsidR="00C05FF1" w:rsidRPr="00AE4903">
        <w:rPr>
          <w:lang w:val="en"/>
        </w:rPr>
        <w:t>and</w:t>
      </w:r>
      <w:r w:rsidR="00FA75F0">
        <w:rPr>
          <w:lang w:val="en"/>
        </w:rPr>
        <w:t xml:space="preserve"> the s</w:t>
      </w:r>
      <w:r w:rsidR="00FA75F0" w:rsidRPr="00AE4903">
        <w:rPr>
          <w:lang w:val="en"/>
        </w:rPr>
        <w:t>ecretariat</w:t>
      </w:r>
      <w:r w:rsidR="00FC63B1" w:rsidRPr="00AE4903">
        <w:rPr>
          <w:lang w:val="en"/>
        </w:rPr>
        <w:t xml:space="preserve"> </w:t>
      </w:r>
      <w:r w:rsidR="009D2A5C" w:rsidRPr="00AE4903">
        <w:rPr>
          <w:lang w:val="en"/>
        </w:rPr>
        <w:t xml:space="preserve">identified </w:t>
      </w:r>
      <w:r w:rsidR="00211E45" w:rsidRPr="00AE4903">
        <w:rPr>
          <w:lang w:val="en"/>
        </w:rPr>
        <w:t xml:space="preserve">possible </w:t>
      </w:r>
      <w:r w:rsidR="00FC63B1" w:rsidRPr="00AE4903">
        <w:rPr>
          <w:lang w:val="en"/>
        </w:rPr>
        <w:t>recommend</w:t>
      </w:r>
      <w:r w:rsidR="00211E45" w:rsidRPr="00AE4903">
        <w:rPr>
          <w:lang w:val="en"/>
        </w:rPr>
        <w:t>ations for</w:t>
      </w:r>
      <w:r w:rsidR="00F55214" w:rsidRPr="00AE4903">
        <w:rPr>
          <w:lang w:val="en"/>
        </w:rPr>
        <w:t xml:space="preserve"> </w:t>
      </w:r>
      <w:r w:rsidR="00211E45" w:rsidRPr="00AE4903">
        <w:rPr>
          <w:lang w:val="en"/>
        </w:rPr>
        <w:t xml:space="preserve">inclusion </w:t>
      </w:r>
      <w:r w:rsidR="004F46BC">
        <w:rPr>
          <w:lang w:val="en"/>
        </w:rPr>
        <w:t xml:space="preserve">in our </w:t>
      </w:r>
      <w:r w:rsidR="00F55214" w:rsidRPr="00AE4903">
        <w:rPr>
          <w:lang w:val="en"/>
        </w:rPr>
        <w:t>report</w:t>
      </w:r>
      <w:r w:rsidR="004A676C" w:rsidRPr="00AE4903">
        <w:rPr>
          <w:lang w:val="en"/>
        </w:rPr>
        <w:t>.</w:t>
      </w:r>
      <w:r w:rsidR="00F55214" w:rsidRPr="00AE4903">
        <w:rPr>
          <w:lang w:val="en"/>
        </w:rPr>
        <w:t xml:space="preserve"> </w:t>
      </w:r>
      <w:r w:rsidR="002B221C">
        <w:rPr>
          <w:lang w:val="en"/>
        </w:rPr>
        <w:t xml:space="preserve">The co-chairs of the APPG considered these suggestions and agreed the final recommendations from the inquiry. These recommendations are available in the final report at </w:t>
      </w:r>
      <w:hyperlink r:id="rId13" w:history="1">
        <w:r w:rsidR="002B221C" w:rsidRPr="004D4C80">
          <w:rPr>
            <w:rStyle w:val="Hyperlink"/>
            <w:lang w:val="en"/>
          </w:rPr>
          <w:t>www.rnib.org.uk/appginquiry</w:t>
        </w:r>
      </w:hyperlink>
      <w:r w:rsidR="002B221C">
        <w:rPr>
          <w:lang w:val="en"/>
        </w:rPr>
        <w:t xml:space="preserve"> . </w:t>
      </w:r>
    </w:p>
    <w:p w14:paraId="2B4A4FCA" w14:textId="77777777" w:rsidR="002F6F13" w:rsidRPr="00D125A6" w:rsidRDefault="002F6F13" w:rsidP="00A202D8">
      <w:pPr>
        <w:rPr>
          <w:highlight w:val="cyan"/>
          <w:lang w:val="en"/>
        </w:rPr>
      </w:pPr>
    </w:p>
    <w:p w14:paraId="11E527E3" w14:textId="3F435B20" w:rsidR="00B029F6" w:rsidRDefault="00B029F6" w:rsidP="001B3620">
      <w:pPr>
        <w:pStyle w:val="Heading2"/>
        <w:rPr>
          <w:lang w:val="en"/>
        </w:rPr>
      </w:pPr>
      <w:r>
        <w:rPr>
          <w:lang w:val="en"/>
        </w:rPr>
        <w:t xml:space="preserve">Publication of the report, implementation and monitoring of the recommendations </w:t>
      </w:r>
    </w:p>
    <w:p w14:paraId="78DBFFB8" w14:textId="29EA5B80" w:rsidR="005241FB" w:rsidRPr="001F0E89" w:rsidRDefault="005241FB" w:rsidP="001B3620">
      <w:pPr>
        <w:rPr>
          <w:rFonts w:eastAsia="Arial"/>
        </w:rPr>
      </w:pPr>
      <w:r>
        <w:rPr>
          <w:lang w:val="en"/>
        </w:rPr>
        <w:t>5.1</w:t>
      </w:r>
      <w:r w:rsidRPr="00B758E1">
        <w:rPr>
          <w:rFonts w:cs="Arial"/>
          <w:color w:val="000000"/>
          <w:szCs w:val="28"/>
        </w:rPr>
        <w:tab/>
      </w:r>
      <w:r w:rsidRPr="6093ABFA">
        <w:rPr>
          <w:rFonts w:cs="Arial"/>
          <w:color w:val="000000"/>
        </w:rPr>
        <w:t>Our report “</w:t>
      </w:r>
      <w:r w:rsidRPr="00B758E1">
        <w:t xml:space="preserve">See the light: Improving capacity in NHS eye care in England” (June 2018), </w:t>
      </w:r>
      <w:r>
        <w:t xml:space="preserve">will be launched on the 6th of June at a Parliamentary reception </w:t>
      </w:r>
      <w:r w:rsidR="00047F37">
        <w:t>attended by Parliamentarians, policy-makers and eye health sector stakeholders.</w:t>
      </w:r>
      <w:r w:rsidR="00385D8F">
        <w:t xml:space="preserve">The report is available at: </w:t>
      </w:r>
      <w:hyperlink r:id="rId14" w:history="1">
        <w:r w:rsidR="00385D8F" w:rsidRPr="004D4C80">
          <w:rPr>
            <w:rStyle w:val="Hyperlink"/>
          </w:rPr>
          <w:t>www.rnib.org.uk/appginquiry</w:t>
        </w:r>
      </w:hyperlink>
      <w:r w:rsidR="00385D8F">
        <w:t xml:space="preserve"> .</w:t>
      </w:r>
    </w:p>
    <w:p w14:paraId="0CD2DD66" w14:textId="77777777" w:rsidR="005241FB" w:rsidRDefault="005241FB" w:rsidP="00B029F6">
      <w:pPr>
        <w:pStyle w:val="PlainText"/>
        <w:rPr>
          <w:lang w:val="en"/>
        </w:rPr>
      </w:pPr>
    </w:p>
    <w:p w14:paraId="12A67B69" w14:textId="4DA14A63" w:rsidR="00047F37" w:rsidRDefault="00047F37" w:rsidP="00047F37">
      <w:r>
        <w:t>5.2</w:t>
      </w:r>
      <w:r>
        <w:tab/>
        <w:t xml:space="preserve">The recommendations in </w:t>
      </w:r>
      <w:r w:rsidR="004F46BC">
        <w:t xml:space="preserve">our </w:t>
      </w:r>
      <w:r>
        <w:t xml:space="preserve">report, when implemented, will help to </w:t>
      </w:r>
      <w:r w:rsidR="00385D8F">
        <w:t xml:space="preserve">ensure services are better able to </w:t>
      </w:r>
      <w:r>
        <w:t xml:space="preserve">meet </w:t>
      </w:r>
      <w:r w:rsidR="00385D8F">
        <w:t>increasing demand</w:t>
      </w:r>
      <w:r>
        <w:t xml:space="preserve">, </w:t>
      </w:r>
      <w:r w:rsidR="00385D8F">
        <w:t xml:space="preserve">improve the delivery of </w:t>
      </w:r>
      <w:r>
        <w:t>joined up eye care, and reduce the numbers of patient</w:t>
      </w:r>
      <w:r w:rsidR="00385D8F">
        <w:t>s losing sight because of delay and cancelled appointments</w:t>
      </w:r>
      <w:r>
        <w:t xml:space="preserve">. </w:t>
      </w:r>
    </w:p>
    <w:p w14:paraId="3DE3D837" w14:textId="77777777" w:rsidR="00047F37" w:rsidRDefault="00047F37" w:rsidP="00047F37"/>
    <w:p w14:paraId="085F921F" w14:textId="0AFE7A3F" w:rsidR="00047F37" w:rsidRDefault="00047F37" w:rsidP="00047F37">
      <w:r>
        <w:t>5.3</w:t>
      </w:r>
      <w:r>
        <w:tab/>
        <w:t xml:space="preserve">Members of the APPG and the Expert Advisory Group are keen to support those working on eye care policy and service delivery to help implement </w:t>
      </w:r>
      <w:r w:rsidR="001B3620">
        <w:t>the</w:t>
      </w:r>
      <w:r>
        <w:t xml:space="preserve"> recommendations, </w:t>
      </w:r>
      <w:r w:rsidR="001B3620">
        <w:t>to</w:t>
      </w:r>
      <w:r>
        <w:t xml:space="preserve"> make a positive difference for patients at risk of sight loss. </w:t>
      </w:r>
      <w:r w:rsidR="001B3620">
        <w:t>We will seek to meet with the Secretary of State for Health and Social Care to discuss our report’s findings and w</w:t>
      </w:r>
      <w:r>
        <w:t xml:space="preserve">e will be monitoring progress on implemention of </w:t>
      </w:r>
      <w:r w:rsidR="001B3620">
        <w:t>its</w:t>
      </w:r>
      <w:r>
        <w:t xml:space="preserve"> recommendations. </w:t>
      </w:r>
    </w:p>
    <w:p w14:paraId="4D3484AA" w14:textId="1E878E24" w:rsidR="00047F37" w:rsidRDefault="00047F37" w:rsidP="00047F37"/>
    <w:p w14:paraId="0318FCC2" w14:textId="116659C7" w:rsidR="001F3718" w:rsidRPr="00AE4903" w:rsidRDefault="001A2B82" w:rsidP="002B221C">
      <w:pPr>
        <w:pStyle w:val="Heading2"/>
        <w:numPr>
          <w:ilvl w:val="0"/>
          <w:numId w:val="0"/>
        </w:numPr>
      </w:pPr>
      <w:r w:rsidRPr="00D125A6">
        <w:rPr>
          <w:highlight w:val="cyan"/>
          <w:lang w:val="en"/>
        </w:rPr>
        <w:br w:type="page"/>
      </w:r>
    </w:p>
    <w:p w14:paraId="36291E59" w14:textId="40BEBC0F" w:rsidR="0017641D" w:rsidRDefault="0017641D" w:rsidP="0017641D">
      <w:pPr>
        <w:pStyle w:val="Heading2"/>
        <w:numPr>
          <w:ilvl w:val="0"/>
          <w:numId w:val="0"/>
        </w:numPr>
        <w:ind w:left="488" w:hanging="488"/>
      </w:pPr>
      <w:r>
        <w:lastRenderedPageBreak/>
        <w:t>Annex:</w:t>
      </w:r>
      <w:r>
        <w:tab/>
        <w:t xml:space="preserve">The Expert Advisory Group </w:t>
      </w:r>
    </w:p>
    <w:p w14:paraId="627E071C" w14:textId="77777777" w:rsidR="0017641D" w:rsidRPr="00AE4903" w:rsidRDefault="0017641D" w:rsidP="0017641D">
      <w:pPr>
        <w:rPr>
          <w:lang w:val="en"/>
        </w:rPr>
      </w:pPr>
    </w:p>
    <w:p w14:paraId="17E3A1A7" w14:textId="77777777" w:rsidR="0017641D" w:rsidRDefault="0017641D" w:rsidP="0017641D">
      <w:r w:rsidRPr="00AE4903">
        <w:t>Susan Blakeney, College of Optometrists</w:t>
      </w:r>
      <w:r>
        <w:t>, Clinical Adviser</w:t>
      </w:r>
    </w:p>
    <w:p w14:paraId="12BD4D67" w14:textId="77777777" w:rsidR="0017641D" w:rsidRDefault="0017641D" w:rsidP="0017641D"/>
    <w:p w14:paraId="034F11B5" w14:textId="77777777" w:rsidR="0017641D" w:rsidRPr="00AE4903" w:rsidRDefault="0017641D" w:rsidP="0017641D">
      <w:r w:rsidRPr="00AE4903">
        <w:t>Mike Burdon, The Royal College of Ophthalmologists, President</w:t>
      </w:r>
    </w:p>
    <w:p w14:paraId="0B670375" w14:textId="77777777" w:rsidR="0017641D" w:rsidRDefault="0017641D" w:rsidP="0017641D"/>
    <w:p w14:paraId="09FC438D" w14:textId="2316B5BC" w:rsidR="0017641D" w:rsidRPr="00AE4903" w:rsidRDefault="0017641D" w:rsidP="0017641D">
      <w:r w:rsidRPr="00AE4903">
        <w:t xml:space="preserve">David Hewlett, </w:t>
      </w:r>
      <w:r w:rsidR="004F46BC">
        <w:t xml:space="preserve">CEO, </w:t>
      </w:r>
      <w:r w:rsidRPr="00AE4903">
        <w:t xml:space="preserve">The Federation of (Ophthalmic and Dispensing) </w:t>
      </w:r>
    </w:p>
    <w:p w14:paraId="2DB82A7E" w14:textId="77777777" w:rsidR="0017641D" w:rsidRPr="00AE4903" w:rsidRDefault="0017641D" w:rsidP="0017641D">
      <w:r w:rsidRPr="00AE4903">
        <w:t xml:space="preserve">Opticians / Optical Confederation </w:t>
      </w:r>
    </w:p>
    <w:p w14:paraId="0D42E9CA" w14:textId="77777777" w:rsidR="0017641D" w:rsidRDefault="0017641D" w:rsidP="0017641D"/>
    <w:p w14:paraId="5B0F97F0" w14:textId="77777777" w:rsidR="0017641D" w:rsidRPr="00AE4903" w:rsidRDefault="0017641D" w:rsidP="0017641D">
      <w:r w:rsidRPr="00AE4903">
        <w:t xml:space="preserve">Susan Hoath, Chief Executive, Birmingham Focus </w:t>
      </w:r>
    </w:p>
    <w:p w14:paraId="0044BCD1" w14:textId="77777777" w:rsidR="0017641D" w:rsidRDefault="0017641D" w:rsidP="0017641D"/>
    <w:p w14:paraId="680C3D3E" w14:textId="77777777" w:rsidR="0017641D" w:rsidRPr="00AE4903" w:rsidRDefault="0017641D" w:rsidP="0017641D">
      <w:r w:rsidRPr="00AE4903">
        <w:t>Malcolm Johnson, patient representative</w:t>
      </w:r>
    </w:p>
    <w:p w14:paraId="389670E1" w14:textId="77777777" w:rsidR="0017641D" w:rsidRDefault="0017641D" w:rsidP="0017641D"/>
    <w:p w14:paraId="7E754B8A" w14:textId="77777777" w:rsidR="0017641D" w:rsidRPr="00AE4903" w:rsidRDefault="0017641D" w:rsidP="0017641D">
      <w:r w:rsidRPr="00AE4903">
        <w:t xml:space="preserve">David Quigley, patient representative </w:t>
      </w:r>
    </w:p>
    <w:p w14:paraId="74DFEB3C" w14:textId="77777777" w:rsidR="0017641D" w:rsidRDefault="0017641D" w:rsidP="0017641D"/>
    <w:p w14:paraId="4D50519C" w14:textId="77777777" w:rsidR="0017641D" w:rsidRPr="00AE4903" w:rsidRDefault="0017641D" w:rsidP="0017641D">
      <w:r w:rsidRPr="00AE4903">
        <w:t>Michael Sobanja (Chair), NHS Alliance</w:t>
      </w:r>
    </w:p>
    <w:p w14:paraId="1D57AE68" w14:textId="77777777" w:rsidR="0017641D" w:rsidRDefault="0017641D" w:rsidP="0017641D"/>
    <w:p w14:paraId="47CA925D" w14:textId="77777777" w:rsidR="0017641D" w:rsidRPr="00AE4903" w:rsidRDefault="0017641D" w:rsidP="0017641D">
      <w:r w:rsidRPr="00AE4903">
        <w:t>Alan Tinger, RNIB Trustee/ Honorary Treasurer</w:t>
      </w:r>
    </w:p>
    <w:p w14:paraId="415DD7AC" w14:textId="77777777" w:rsidR="0017641D" w:rsidRDefault="0017641D" w:rsidP="0017641D"/>
    <w:p w14:paraId="4827ABD0" w14:textId="008496A8" w:rsidR="0017641D" w:rsidRPr="00AE4903" w:rsidRDefault="0017641D" w:rsidP="0017641D">
      <w:r w:rsidRPr="00AE4903">
        <w:t>Keith Valentine, Chief Executive</w:t>
      </w:r>
      <w:r w:rsidR="00632FBE">
        <w:t>,</w:t>
      </w:r>
      <w:r w:rsidRPr="00AE4903">
        <w:t xml:space="preserve"> Vision UK</w:t>
      </w:r>
    </w:p>
    <w:p w14:paraId="34F72B98" w14:textId="77777777" w:rsidR="0017641D" w:rsidRDefault="0017641D" w:rsidP="0017641D"/>
    <w:p w14:paraId="095048AE" w14:textId="77777777" w:rsidR="0017641D" w:rsidRPr="00AE4903" w:rsidRDefault="0017641D" w:rsidP="0017641D">
      <w:r w:rsidRPr="00AE4903">
        <w:t xml:space="preserve">Stephen Vernon, </w:t>
      </w:r>
      <w:r w:rsidRPr="00AE4903">
        <w:rPr>
          <w:rFonts w:cs="Arial"/>
          <w:color w:val="000000"/>
        </w:rPr>
        <w:t>Royal College of Ophthalmologists</w:t>
      </w:r>
      <w:r w:rsidRPr="00AE4903">
        <w:t>, Vice President</w:t>
      </w:r>
    </w:p>
    <w:p w14:paraId="6800E23F" w14:textId="77777777" w:rsidR="0017641D" w:rsidRDefault="0017641D" w:rsidP="0017641D"/>
    <w:p w14:paraId="04F47D15" w14:textId="77777777" w:rsidR="0017641D" w:rsidRPr="00AE4903" w:rsidRDefault="0017641D" w:rsidP="0017641D">
      <w:r w:rsidRPr="00AE4903">
        <w:t>Christine Wall, patient representative</w:t>
      </w:r>
    </w:p>
    <w:p w14:paraId="3D7EA330" w14:textId="1981B803" w:rsidR="008F313A" w:rsidRPr="00857758" w:rsidRDefault="001F3718" w:rsidP="001865DA">
      <w:pPr>
        <w:pStyle w:val="Heading2"/>
        <w:numPr>
          <w:ilvl w:val="1"/>
          <w:numId w:val="0"/>
        </w:numPr>
        <w:ind w:left="488" w:hanging="488"/>
      </w:pPr>
      <w:r w:rsidRPr="00C36DF0">
        <w:rPr>
          <w:lang w:val="en"/>
        </w:rPr>
        <w:br w:type="page"/>
      </w:r>
      <w:r w:rsidR="6093ABFA" w:rsidRPr="00C36DF0">
        <w:lastRenderedPageBreak/>
        <w:t>Endnotes</w:t>
      </w:r>
    </w:p>
    <w:sectPr w:rsidR="008F313A" w:rsidRPr="00857758" w:rsidSect="0087446B">
      <w:footerReference w:type="default" r:id="rId15"/>
      <w:endnotePr>
        <w:numFmt w:val="decimal"/>
      </w:endnotePr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EAC73" w14:textId="77777777" w:rsidR="00E4038D" w:rsidRDefault="00E4038D">
      <w:r>
        <w:separator/>
      </w:r>
    </w:p>
  </w:endnote>
  <w:endnote w:type="continuationSeparator" w:id="0">
    <w:p w14:paraId="36CCC683" w14:textId="77777777" w:rsidR="00E4038D" w:rsidRDefault="00E4038D">
      <w:r>
        <w:continuationSeparator/>
      </w:r>
    </w:p>
  </w:endnote>
  <w:endnote w:type="continuationNotice" w:id="1">
    <w:p w14:paraId="3380FC68" w14:textId="77777777" w:rsidR="00E4038D" w:rsidRDefault="00E4038D"/>
  </w:endnote>
  <w:endnote w:id="2">
    <w:p w14:paraId="76755D98" w14:textId="428DCEFD" w:rsidR="00C3471A" w:rsidRPr="00C80E91" w:rsidRDefault="009A72A3" w:rsidP="00C3471A">
      <w:pPr>
        <w:rPr>
          <w:rFonts w:cs="Arial"/>
          <w:color w:val="000000"/>
          <w:szCs w:val="28"/>
        </w:rPr>
      </w:pPr>
      <w:r w:rsidRPr="001447DE">
        <w:rPr>
          <w:rStyle w:val="EndnoteReference"/>
          <w:rFonts w:cs="Arial"/>
          <w:b/>
          <w:color w:val="000000"/>
          <w:szCs w:val="28"/>
          <w:vertAlign w:val="baseline"/>
        </w:rPr>
        <w:endnoteRef/>
      </w:r>
      <w:r w:rsidR="001447DE">
        <w:rPr>
          <w:rFonts w:cs="Arial"/>
          <w:b/>
          <w:color w:val="000000"/>
          <w:szCs w:val="28"/>
        </w:rPr>
        <w:t>.</w:t>
      </w:r>
      <w:r w:rsidR="00C3471A" w:rsidRPr="00C80E91">
        <w:rPr>
          <w:rFonts w:cs="Arial"/>
          <w:color w:val="000000"/>
          <w:szCs w:val="28"/>
        </w:rPr>
        <w:t xml:space="preserve"> Foot B, MacEwen C. (2017). “Surveillance of sight loss due to delay in ophthalmic treatment or review: frequency, cause and outcome”. Eye, 31: 771–775.</w:t>
      </w:r>
    </w:p>
    <w:p w14:paraId="1B5D88DB" w14:textId="77777777" w:rsidR="009A72A3" w:rsidRPr="00C80E91" w:rsidRDefault="009A72A3" w:rsidP="0087304E">
      <w:pPr>
        <w:rPr>
          <w:rFonts w:cs="Arial"/>
          <w:color w:val="000000"/>
          <w:szCs w:val="24"/>
        </w:rPr>
      </w:pPr>
    </w:p>
  </w:endnote>
  <w:endnote w:id="3">
    <w:p w14:paraId="6E580C5A" w14:textId="554AA656" w:rsidR="009A72A3" w:rsidRPr="00C80E91" w:rsidRDefault="009A72A3" w:rsidP="0087304E">
      <w:pPr>
        <w:rPr>
          <w:rFonts w:cs="Arial"/>
          <w:color w:val="000000"/>
          <w:szCs w:val="24"/>
        </w:rPr>
      </w:pPr>
      <w:r w:rsidRPr="001447DE">
        <w:rPr>
          <w:rStyle w:val="EndnoteReference"/>
          <w:rFonts w:cs="Arial"/>
          <w:b/>
          <w:color w:val="000000"/>
          <w:szCs w:val="24"/>
          <w:vertAlign w:val="baseline"/>
        </w:rPr>
        <w:endnoteRef/>
      </w:r>
      <w:r w:rsidR="001447DE">
        <w:rPr>
          <w:rFonts w:cs="Arial"/>
          <w:b/>
          <w:color w:val="000000"/>
          <w:szCs w:val="24"/>
        </w:rPr>
        <w:t>.</w:t>
      </w:r>
      <w:r w:rsidRPr="001447DE">
        <w:rPr>
          <w:rFonts w:cs="Arial"/>
          <w:b/>
          <w:color w:val="000000"/>
          <w:szCs w:val="24"/>
        </w:rPr>
        <w:t xml:space="preserve"> </w:t>
      </w:r>
      <w:r w:rsidR="00192D48" w:rsidRPr="00C80E91">
        <w:rPr>
          <w:rFonts w:cs="Arial"/>
          <w:color w:val="000000"/>
          <w:szCs w:val="24"/>
        </w:rPr>
        <w:t>RNIB (2013) “</w:t>
      </w:r>
      <w:r w:rsidRPr="00C80E91">
        <w:rPr>
          <w:rFonts w:cs="Arial"/>
          <w:color w:val="000000"/>
          <w:szCs w:val="24"/>
        </w:rPr>
        <w:t>Saving money, losing sight</w:t>
      </w:r>
      <w:r w:rsidR="00192D48" w:rsidRPr="00C80E91">
        <w:rPr>
          <w:rFonts w:cs="Arial"/>
          <w:color w:val="000000"/>
          <w:szCs w:val="24"/>
        </w:rPr>
        <w:t>”.</w:t>
      </w:r>
      <w:r w:rsidRPr="00C80E91">
        <w:rPr>
          <w:rFonts w:cs="Arial"/>
          <w:color w:val="000000"/>
          <w:szCs w:val="24"/>
        </w:rPr>
        <w:t xml:space="preserve"> </w:t>
      </w:r>
    </w:p>
    <w:p w14:paraId="42DECDE2" w14:textId="77777777" w:rsidR="009A72A3" w:rsidRPr="00C80E91" w:rsidRDefault="009A72A3" w:rsidP="0087304E">
      <w:pPr>
        <w:rPr>
          <w:rFonts w:cs="Arial"/>
          <w:color w:val="000000"/>
          <w:szCs w:val="24"/>
        </w:rPr>
      </w:pPr>
    </w:p>
  </w:endnote>
  <w:endnote w:id="4">
    <w:p w14:paraId="113DC9F2" w14:textId="52F618DB" w:rsidR="009A72A3" w:rsidRDefault="009A72A3" w:rsidP="00E345B7">
      <w:pPr>
        <w:rPr>
          <w:rFonts w:cs="Arial"/>
        </w:rPr>
      </w:pPr>
      <w:r w:rsidRPr="001447DE">
        <w:rPr>
          <w:rStyle w:val="EndnoteReference"/>
          <w:b/>
          <w:vertAlign w:val="baseline"/>
        </w:rPr>
        <w:endnoteRef/>
      </w:r>
      <w:r w:rsidR="001447DE">
        <w:t>.</w:t>
      </w:r>
      <w:r w:rsidRPr="00C80E91">
        <w:t xml:space="preserve"> </w:t>
      </w:r>
      <w:r w:rsidR="00C80E91" w:rsidRPr="00C80E91">
        <w:t>We received a</w:t>
      </w:r>
      <w:r w:rsidRPr="00C80E91">
        <w:t xml:space="preserve">pproximately 650 initial </w:t>
      </w:r>
      <w:r w:rsidR="00C80E91" w:rsidRPr="00C80E91">
        <w:t>r</w:t>
      </w:r>
      <w:r w:rsidRPr="00C80E91">
        <w:t>esponses</w:t>
      </w:r>
      <w:r w:rsidR="00C80E91" w:rsidRPr="00C80E91">
        <w:t xml:space="preserve"> to the patient survey</w:t>
      </w:r>
      <w:r w:rsidRPr="00C80E91">
        <w:t xml:space="preserve">. The </w:t>
      </w:r>
      <w:r w:rsidR="00C80E91" w:rsidRPr="00C80E91">
        <w:t xml:space="preserve">survey </w:t>
      </w:r>
      <w:r w:rsidRPr="00C80E91">
        <w:t>data-set was subsequently ‘cleaned’ which involved removing those people who were outside the survey’s scope: that do not live in England, had not been treated within the last three years and who only answered the first one</w:t>
      </w:r>
      <w:r w:rsidR="00C80E91" w:rsidRPr="00C80E91">
        <w:t xml:space="preserve"> </w:t>
      </w:r>
      <w:r w:rsidRPr="00C80E91">
        <w:t>/</w:t>
      </w:r>
      <w:r w:rsidR="00C80E91" w:rsidRPr="00C80E91">
        <w:t xml:space="preserve"> </w:t>
      </w:r>
      <w:r w:rsidRPr="00C80E91">
        <w:t xml:space="preserve">two questions and then left the survey. We also removed respondents with self-reported eye health conditions </w:t>
      </w:r>
      <w:r w:rsidR="00C80E91" w:rsidRPr="00C80E91">
        <w:t>who were outside of the Inquiry’s scope</w:t>
      </w:r>
      <w:r w:rsidR="00385D8F">
        <w:t xml:space="preserve">. The </w:t>
      </w:r>
      <w:r w:rsidRPr="00C80E91">
        <w:t xml:space="preserve">Vice President of the </w:t>
      </w:r>
      <w:r w:rsidR="00825E7D" w:rsidRPr="00C80E91">
        <w:rPr>
          <w:rFonts w:cs="Arial"/>
          <w:color w:val="000000"/>
        </w:rPr>
        <w:t>Royal College of Ophthalmologists</w:t>
      </w:r>
      <w:r w:rsidR="00825E7D" w:rsidRPr="00C80E91" w:rsidDel="00825E7D">
        <w:t xml:space="preserve"> </w:t>
      </w:r>
      <w:r w:rsidR="00385D8F">
        <w:t>and the Clinical Adviser to the College of Optometrists (</w:t>
      </w:r>
      <w:r w:rsidRPr="00C80E91">
        <w:t>member</w:t>
      </w:r>
      <w:r w:rsidR="00385D8F">
        <w:t>s</w:t>
      </w:r>
      <w:r w:rsidRPr="00C80E91">
        <w:t xml:space="preserve"> of the Expert Advisory Group)</w:t>
      </w:r>
      <w:r w:rsidR="00385D8F">
        <w:t xml:space="preserve"> provided guidance on this</w:t>
      </w:r>
      <w:r w:rsidR="00C80E91" w:rsidRPr="00C80E91">
        <w:t>.</w:t>
      </w:r>
      <w:r w:rsidRPr="00C80E91">
        <w:t xml:space="preserve"> </w:t>
      </w:r>
      <w:r w:rsidR="00385D8F">
        <w:t xml:space="preserve">The Inquiry’s focused on eye care services for eye conditions </w:t>
      </w:r>
      <w:r w:rsidRPr="00C80E91">
        <w:t xml:space="preserve">for </w:t>
      </w:r>
      <w:r w:rsidRPr="00C80E91">
        <w:rPr>
          <w:rFonts w:cs="Arial"/>
        </w:rPr>
        <w:t>which there are effective treatments</w:t>
      </w:r>
      <w:r w:rsidR="00385D8F">
        <w:rPr>
          <w:rFonts w:cs="Arial"/>
        </w:rPr>
        <w:t>,</w:t>
      </w:r>
      <w:r w:rsidRPr="00C80E91">
        <w:rPr>
          <w:rFonts w:cs="Arial"/>
        </w:rPr>
        <w:t xml:space="preserve"> which may lead, if not treated </w:t>
      </w:r>
      <w:r w:rsidR="00385D8F">
        <w:rPr>
          <w:rFonts w:cs="Arial"/>
        </w:rPr>
        <w:t>in the clinically appropriate time</w:t>
      </w:r>
      <w:r w:rsidRPr="00C80E91">
        <w:rPr>
          <w:rFonts w:cs="Arial"/>
        </w:rPr>
        <w:t xml:space="preserve"> to a person becoming blind or partially sighted.</w:t>
      </w:r>
    </w:p>
    <w:p w14:paraId="462461E6" w14:textId="77777777" w:rsidR="00E345B7" w:rsidRDefault="00E345B7" w:rsidP="00E345B7">
      <w:pPr>
        <w:rPr>
          <w:rFonts w:cs="Arial"/>
        </w:rPr>
      </w:pPr>
    </w:p>
    <w:p w14:paraId="7CCC944F" w14:textId="4F62A025" w:rsidR="00E345B7" w:rsidRPr="00E345B7" w:rsidRDefault="00E345B7" w:rsidP="00E345B7">
      <w:pPr>
        <w:rPr>
          <w:rFonts w:cs="Arial"/>
          <w:color w:val="000000"/>
        </w:rPr>
      </w:pPr>
      <w:r>
        <w:rPr>
          <w:rFonts w:cs="Arial"/>
        </w:rPr>
        <w:t>End of document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ndo">
    <w:altName w:val="Tond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ADD65" w14:textId="43C66B83" w:rsidR="009A72A3" w:rsidRDefault="009A72A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2536">
      <w:rPr>
        <w:noProof/>
      </w:rPr>
      <w:t>1</w:t>
    </w:r>
    <w:r>
      <w:rPr>
        <w:noProof/>
      </w:rPr>
      <w:fldChar w:fldCharType="end"/>
    </w:r>
  </w:p>
  <w:p w14:paraId="0F778D01" w14:textId="77777777" w:rsidR="009A72A3" w:rsidRDefault="009A7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D2E99" w14:textId="77777777" w:rsidR="00E4038D" w:rsidRDefault="00E4038D">
      <w:r>
        <w:separator/>
      </w:r>
    </w:p>
  </w:footnote>
  <w:footnote w:type="continuationSeparator" w:id="0">
    <w:p w14:paraId="3CA92BE8" w14:textId="77777777" w:rsidR="00E4038D" w:rsidRDefault="00E4038D">
      <w:r>
        <w:continuationSeparator/>
      </w:r>
    </w:p>
  </w:footnote>
  <w:footnote w:type="continuationNotice" w:id="1">
    <w:p w14:paraId="2521D9EE" w14:textId="77777777" w:rsidR="00E4038D" w:rsidRDefault="00E403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2C4E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DF08E0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A5437C"/>
    <w:multiLevelType w:val="multilevel"/>
    <w:tmpl w:val="09127C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3">
      <w:start w:val="1"/>
      <w:numFmt w:val="decimal"/>
      <w:suff w:val="space"/>
      <w:lvlText w:val="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998"/>
        </w:tabs>
        <w:ind w:left="998" w:hanging="998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1281"/>
        </w:tabs>
        <w:ind w:left="1281" w:hanging="128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2506E3"/>
    <w:multiLevelType w:val="multilevel"/>
    <w:tmpl w:val="09127C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3">
      <w:start w:val="1"/>
      <w:numFmt w:val="decimal"/>
      <w:suff w:val="space"/>
      <w:lvlText w:val="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998"/>
        </w:tabs>
        <w:ind w:left="998" w:hanging="998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1281"/>
        </w:tabs>
        <w:ind w:left="1281" w:hanging="128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80F59A6"/>
    <w:multiLevelType w:val="multilevel"/>
    <w:tmpl w:val="A8EE5DA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3">
      <w:start w:val="1"/>
      <w:numFmt w:val="decimal"/>
      <w:suff w:val="space"/>
      <w:lvlText w:val="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998"/>
        </w:tabs>
        <w:ind w:left="998" w:hanging="998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CB64818"/>
    <w:multiLevelType w:val="multilevel"/>
    <w:tmpl w:val="1B6074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1812D29"/>
    <w:multiLevelType w:val="multilevel"/>
    <w:tmpl w:val="09127C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3">
      <w:start w:val="1"/>
      <w:numFmt w:val="decimal"/>
      <w:suff w:val="space"/>
      <w:lvlText w:val="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998"/>
        </w:tabs>
        <w:ind w:left="998" w:hanging="998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1281"/>
        </w:tabs>
        <w:ind w:left="1281" w:hanging="128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47615EA"/>
    <w:multiLevelType w:val="multilevel"/>
    <w:tmpl w:val="09127C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3">
      <w:start w:val="1"/>
      <w:numFmt w:val="decimal"/>
      <w:suff w:val="space"/>
      <w:lvlText w:val="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998"/>
        </w:tabs>
        <w:ind w:left="998" w:hanging="998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1281"/>
        </w:tabs>
        <w:ind w:left="1281" w:hanging="128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5924556"/>
    <w:multiLevelType w:val="multilevel"/>
    <w:tmpl w:val="BCFA55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998"/>
        </w:tabs>
        <w:ind w:left="998" w:hanging="998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1281"/>
        </w:tabs>
        <w:ind w:left="1281" w:hanging="128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BEE2875"/>
    <w:multiLevelType w:val="multilevel"/>
    <w:tmpl w:val="A4AE4B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88"/>
        </w:tabs>
        <w:ind w:left="488" w:hanging="488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7703FB0"/>
    <w:multiLevelType w:val="multilevel"/>
    <w:tmpl w:val="5DB66DE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90426E7"/>
    <w:multiLevelType w:val="multilevel"/>
    <w:tmpl w:val="A8F8C4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09C010C"/>
    <w:multiLevelType w:val="multilevel"/>
    <w:tmpl w:val="62E08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3">
      <w:start w:val="1"/>
      <w:numFmt w:val="decimal"/>
      <w:suff w:val="space"/>
      <w:lvlText w:val="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1250C6D"/>
    <w:multiLevelType w:val="multilevel"/>
    <w:tmpl w:val="A4AE4B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488"/>
        </w:tabs>
        <w:ind w:left="488" w:hanging="488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pStyle w:val="Heading5"/>
      <w:lvlText w:val="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12F1F44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5D02D95"/>
    <w:multiLevelType w:val="multilevel"/>
    <w:tmpl w:val="520AB1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3">
      <w:start w:val="1"/>
      <w:numFmt w:val="decimal"/>
      <w:suff w:val="space"/>
      <w:lvlText w:val="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DD3049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E1E32F3"/>
    <w:multiLevelType w:val="hybridMultilevel"/>
    <w:tmpl w:val="E2601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C53A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F2813C3"/>
    <w:multiLevelType w:val="multilevel"/>
    <w:tmpl w:val="18AE35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998"/>
        </w:tabs>
        <w:ind w:left="998" w:hanging="998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1281"/>
        </w:tabs>
        <w:ind w:left="1281" w:hanging="128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408331D"/>
    <w:multiLevelType w:val="multilevel"/>
    <w:tmpl w:val="866C62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998"/>
        </w:tabs>
        <w:ind w:left="998" w:hanging="998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1281"/>
        </w:tabs>
        <w:ind w:left="1281" w:hanging="128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42191B"/>
    <w:multiLevelType w:val="multilevel"/>
    <w:tmpl w:val="93803A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66A399A"/>
    <w:multiLevelType w:val="hybridMultilevel"/>
    <w:tmpl w:val="ECDE8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B7B9D"/>
    <w:multiLevelType w:val="multilevel"/>
    <w:tmpl w:val="09127C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3">
      <w:start w:val="1"/>
      <w:numFmt w:val="decimal"/>
      <w:suff w:val="space"/>
      <w:lvlText w:val="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998"/>
        </w:tabs>
        <w:ind w:left="998" w:hanging="998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1281"/>
        </w:tabs>
        <w:ind w:left="1281" w:hanging="128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8BF7F4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0"/>
  </w:num>
  <w:num w:numId="5">
    <w:abstractNumId w:val="19"/>
  </w:num>
  <w:num w:numId="6">
    <w:abstractNumId w:val="8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3"/>
  </w:num>
  <w:num w:numId="11">
    <w:abstractNumId w:val="24"/>
  </w:num>
  <w:num w:numId="12">
    <w:abstractNumId w:val="7"/>
  </w:num>
  <w:num w:numId="13">
    <w:abstractNumId w:val="4"/>
  </w:num>
  <w:num w:numId="14">
    <w:abstractNumId w:val="12"/>
  </w:num>
  <w:num w:numId="15">
    <w:abstractNumId w:val="15"/>
  </w:num>
  <w:num w:numId="16">
    <w:abstractNumId w:val="11"/>
  </w:num>
  <w:num w:numId="17">
    <w:abstractNumId w:val="10"/>
  </w:num>
  <w:num w:numId="18">
    <w:abstractNumId w:val="5"/>
  </w:num>
  <w:num w:numId="19">
    <w:abstractNumId w:val="22"/>
  </w:num>
  <w:num w:numId="20">
    <w:abstractNumId w:val="9"/>
  </w:num>
  <w:num w:numId="21">
    <w:abstractNumId w:val="16"/>
  </w:num>
  <w:num w:numId="22">
    <w:abstractNumId w:val="14"/>
  </w:num>
  <w:num w:numId="23">
    <w:abstractNumId w:val="18"/>
  </w:num>
  <w:num w:numId="24">
    <w:abstractNumId w:val="25"/>
  </w:num>
  <w:num w:numId="25">
    <w:abstractNumId w:val="21"/>
  </w:num>
  <w:num w:numId="26">
    <w:abstractNumId w:val="1"/>
  </w:num>
  <w:num w:numId="27">
    <w:abstractNumId w:val="1"/>
  </w:num>
  <w:num w:numId="28">
    <w:abstractNumId w:val="17"/>
  </w:num>
  <w:num w:numId="29">
    <w:abstractNumId w:val="1"/>
  </w:num>
  <w:num w:numId="30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5E"/>
    <w:rsid w:val="00000865"/>
    <w:rsid w:val="00003A17"/>
    <w:rsid w:val="000073C3"/>
    <w:rsid w:val="00007DC4"/>
    <w:rsid w:val="00010724"/>
    <w:rsid w:val="00013282"/>
    <w:rsid w:val="000235DC"/>
    <w:rsid w:val="000308CA"/>
    <w:rsid w:val="00030EF4"/>
    <w:rsid w:val="00031254"/>
    <w:rsid w:val="00031E35"/>
    <w:rsid w:val="00037717"/>
    <w:rsid w:val="00047F37"/>
    <w:rsid w:val="0005043C"/>
    <w:rsid w:val="00052391"/>
    <w:rsid w:val="00054A24"/>
    <w:rsid w:val="00057C5A"/>
    <w:rsid w:val="00073D7F"/>
    <w:rsid w:val="00074F72"/>
    <w:rsid w:val="00075C1B"/>
    <w:rsid w:val="0007712B"/>
    <w:rsid w:val="00077E65"/>
    <w:rsid w:val="00081032"/>
    <w:rsid w:val="000813A8"/>
    <w:rsid w:val="00083188"/>
    <w:rsid w:val="000860F4"/>
    <w:rsid w:val="000900B3"/>
    <w:rsid w:val="000971EE"/>
    <w:rsid w:val="000A3B6A"/>
    <w:rsid w:val="000A7801"/>
    <w:rsid w:val="000B0A12"/>
    <w:rsid w:val="000B18C0"/>
    <w:rsid w:val="000B26CD"/>
    <w:rsid w:val="000B64E5"/>
    <w:rsid w:val="000B66E6"/>
    <w:rsid w:val="000C0F59"/>
    <w:rsid w:val="000C49E8"/>
    <w:rsid w:val="000C6326"/>
    <w:rsid w:val="000D1550"/>
    <w:rsid w:val="000D1642"/>
    <w:rsid w:val="000D3745"/>
    <w:rsid w:val="000D553A"/>
    <w:rsid w:val="000D7A1B"/>
    <w:rsid w:val="000E5F5F"/>
    <w:rsid w:val="000F0749"/>
    <w:rsid w:val="000F0758"/>
    <w:rsid w:val="000F50A8"/>
    <w:rsid w:val="000F5825"/>
    <w:rsid w:val="000F77F0"/>
    <w:rsid w:val="0010015E"/>
    <w:rsid w:val="00101EA0"/>
    <w:rsid w:val="001037E9"/>
    <w:rsid w:val="00105043"/>
    <w:rsid w:val="00107503"/>
    <w:rsid w:val="00111083"/>
    <w:rsid w:val="00112A45"/>
    <w:rsid w:val="00115FBD"/>
    <w:rsid w:val="001200AE"/>
    <w:rsid w:val="00122488"/>
    <w:rsid w:val="001247A5"/>
    <w:rsid w:val="00137E46"/>
    <w:rsid w:val="001421E8"/>
    <w:rsid w:val="00143759"/>
    <w:rsid w:val="001447DE"/>
    <w:rsid w:val="00150778"/>
    <w:rsid w:val="00153B3D"/>
    <w:rsid w:val="00154C58"/>
    <w:rsid w:val="00156387"/>
    <w:rsid w:val="001567F3"/>
    <w:rsid w:val="00156FDA"/>
    <w:rsid w:val="00160C33"/>
    <w:rsid w:val="001648D8"/>
    <w:rsid w:val="00171235"/>
    <w:rsid w:val="001718A5"/>
    <w:rsid w:val="00173052"/>
    <w:rsid w:val="001731CF"/>
    <w:rsid w:val="00173EBD"/>
    <w:rsid w:val="00175EA9"/>
    <w:rsid w:val="0017641D"/>
    <w:rsid w:val="0017694A"/>
    <w:rsid w:val="00176C5D"/>
    <w:rsid w:val="001770AD"/>
    <w:rsid w:val="00177319"/>
    <w:rsid w:val="00180F80"/>
    <w:rsid w:val="001823FF"/>
    <w:rsid w:val="00184A42"/>
    <w:rsid w:val="00184D83"/>
    <w:rsid w:val="0018646A"/>
    <w:rsid w:val="001865DA"/>
    <w:rsid w:val="001922E4"/>
    <w:rsid w:val="00192D48"/>
    <w:rsid w:val="001938EA"/>
    <w:rsid w:val="00193F36"/>
    <w:rsid w:val="0019760B"/>
    <w:rsid w:val="00197B50"/>
    <w:rsid w:val="001A2B82"/>
    <w:rsid w:val="001A4D0B"/>
    <w:rsid w:val="001A5E93"/>
    <w:rsid w:val="001A60F1"/>
    <w:rsid w:val="001B09A8"/>
    <w:rsid w:val="001B3620"/>
    <w:rsid w:val="001B44C3"/>
    <w:rsid w:val="001B4ECF"/>
    <w:rsid w:val="001B68F1"/>
    <w:rsid w:val="001B7853"/>
    <w:rsid w:val="001C1258"/>
    <w:rsid w:val="001C2179"/>
    <w:rsid w:val="001C31E0"/>
    <w:rsid w:val="001C48A0"/>
    <w:rsid w:val="001C4DD2"/>
    <w:rsid w:val="001C551D"/>
    <w:rsid w:val="001C7FBD"/>
    <w:rsid w:val="001D14C4"/>
    <w:rsid w:val="001D1864"/>
    <w:rsid w:val="001F0861"/>
    <w:rsid w:val="001F0E89"/>
    <w:rsid w:val="001F3718"/>
    <w:rsid w:val="00200788"/>
    <w:rsid w:val="00204E9B"/>
    <w:rsid w:val="00205A11"/>
    <w:rsid w:val="0020705D"/>
    <w:rsid w:val="002070B8"/>
    <w:rsid w:val="00207EAF"/>
    <w:rsid w:val="00207FB8"/>
    <w:rsid w:val="0021078C"/>
    <w:rsid w:val="00211E45"/>
    <w:rsid w:val="00212085"/>
    <w:rsid w:val="00213690"/>
    <w:rsid w:val="00213A5A"/>
    <w:rsid w:val="00215AF8"/>
    <w:rsid w:val="00221988"/>
    <w:rsid w:val="00222FA4"/>
    <w:rsid w:val="0022491D"/>
    <w:rsid w:val="00227D61"/>
    <w:rsid w:val="00227E98"/>
    <w:rsid w:val="00232917"/>
    <w:rsid w:val="002337AC"/>
    <w:rsid w:val="0023778A"/>
    <w:rsid w:val="0024018D"/>
    <w:rsid w:val="00240D2F"/>
    <w:rsid w:val="00241AB9"/>
    <w:rsid w:val="002454B1"/>
    <w:rsid w:val="0024718C"/>
    <w:rsid w:val="0025154F"/>
    <w:rsid w:val="002532F8"/>
    <w:rsid w:val="00253670"/>
    <w:rsid w:val="00257F78"/>
    <w:rsid w:val="002601F2"/>
    <w:rsid w:val="0026028C"/>
    <w:rsid w:val="002605BA"/>
    <w:rsid w:val="002620CF"/>
    <w:rsid w:val="00262436"/>
    <w:rsid w:val="0026536B"/>
    <w:rsid w:val="00267192"/>
    <w:rsid w:val="002702AC"/>
    <w:rsid w:val="0027287F"/>
    <w:rsid w:val="00272C6F"/>
    <w:rsid w:val="00273B49"/>
    <w:rsid w:val="00276BAC"/>
    <w:rsid w:val="00281750"/>
    <w:rsid w:val="00283CFA"/>
    <w:rsid w:val="00286512"/>
    <w:rsid w:val="00292A84"/>
    <w:rsid w:val="002945AF"/>
    <w:rsid w:val="002A3389"/>
    <w:rsid w:val="002A3A57"/>
    <w:rsid w:val="002A4940"/>
    <w:rsid w:val="002A52F5"/>
    <w:rsid w:val="002A54F4"/>
    <w:rsid w:val="002A5E40"/>
    <w:rsid w:val="002A641E"/>
    <w:rsid w:val="002A76DE"/>
    <w:rsid w:val="002A77EA"/>
    <w:rsid w:val="002B122C"/>
    <w:rsid w:val="002B221C"/>
    <w:rsid w:val="002B3276"/>
    <w:rsid w:val="002B406E"/>
    <w:rsid w:val="002B4EDF"/>
    <w:rsid w:val="002B584D"/>
    <w:rsid w:val="002B6B43"/>
    <w:rsid w:val="002C06A0"/>
    <w:rsid w:val="002C574F"/>
    <w:rsid w:val="002C6F1A"/>
    <w:rsid w:val="002C78C3"/>
    <w:rsid w:val="002D037F"/>
    <w:rsid w:val="002D1CAE"/>
    <w:rsid w:val="002D22D1"/>
    <w:rsid w:val="002D6468"/>
    <w:rsid w:val="002D646C"/>
    <w:rsid w:val="002E2F18"/>
    <w:rsid w:val="002E4D4E"/>
    <w:rsid w:val="002E4F45"/>
    <w:rsid w:val="002E6E5E"/>
    <w:rsid w:val="002F07F0"/>
    <w:rsid w:val="002F0C29"/>
    <w:rsid w:val="002F279A"/>
    <w:rsid w:val="002F5169"/>
    <w:rsid w:val="002F6708"/>
    <w:rsid w:val="002F671F"/>
    <w:rsid w:val="002F6F13"/>
    <w:rsid w:val="00302A4A"/>
    <w:rsid w:val="003062AE"/>
    <w:rsid w:val="00307E9A"/>
    <w:rsid w:val="00307EB8"/>
    <w:rsid w:val="003101EF"/>
    <w:rsid w:val="00311E22"/>
    <w:rsid w:val="00320D3E"/>
    <w:rsid w:val="00324BA5"/>
    <w:rsid w:val="00326DDC"/>
    <w:rsid w:val="00331B6B"/>
    <w:rsid w:val="0033389C"/>
    <w:rsid w:val="00335C72"/>
    <w:rsid w:val="0033635B"/>
    <w:rsid w:val="00342BD4"/>
    <w:rsid w:val="00360C97"/>
    <w:rsid w:val="00361560"/>
    <w:rsid w:val="00362CB3"/>
    <w:rsid w:val="00370B20"/>
    <w:rsid w:val="00380B64"/>
    <w:rsid w:val="00382D13"/>
    <w:rsid w:val="003833BF"/>
    <w:rsid w:val="00383431"/>
    <w:rsid w:val="00383865"/>
    <w:rsid w:val="00383E5B"/>
    <w:rsid w:val="00385D8F"/>
    <w:rsid w:val="00390071"/>
    <w:rsid w:val="00392089"/>
    <w:rsid w:val="0039329E"/>
    <w:rsid w:val="00393A24"/>
    <w:rsid w:val="00396F3B"/>
    <w:rsid w:val="003A39E0"/>
    <w:rsid w:val="003A72E8"/>
    <w:rsid w:val="003B0C43"/>
    <w:rsid w:val="003B6D4C"/>
    <w:rsid w:val="003C47B1"/>
    <w:rsid w:val="003C5330"/>
    <w:rsid w:val="003C5B7B"/>
    <w:rsid w:val="003C69AF"/>
    <w:rsid w:val="003C6F71"/>
    <w:rsid w:val="003C772E"/>
    <w:rsid w:val="003E223A"/>
    <w:rsid w:val="003E50F7"/>
    <w:rsid w:val="003E57E1"/>
    <w:rsid w:val="003E6ED7"/>
    <w:rsid w:val="003F28E0"/>
    <w:rsid w:val="003F6521"/>
    <w:rsid w:val="00402504"/>
    <w:rsid w:val="00403079"/>
    <w:rsid w:val="004032CD"/>
    <w:rsid w:val="0040402F"/>
    <w:rsid w:val="00406D6E"/>
    <w:rsid w:val="00410C14"/>
    <w:rsid w:val="0041446F"/>
    <w:rsid w:val="0042216C"/>
    <w:rsid w:val="00422BA3"/>
    <w:rsid w:val="00422CFA"/>
    <w:rsid w:val="00424125"/>
    <w:rsid w:val="0042750A"/>
    <w:rsid w:val="00427CFE"/>
    <w:rsid w:val="00427E87"/>
    <w:rsid w:val="00432E42"/>
    <w:rsid w:val="0044357E"/>
    <w:rsid w:val="004436E1"/>
    <w:rsid w:val="00444C07"/>
    <w:rsid w:val="00450F6D"/>
    <w:rsid w:val="0045243F"/>
    <w:rsid w:val="004537D1"/>
    <w:rsid w:val="00454A61"/>
    <w:rsid w:val="00454BEF"/>
    <w:rsid w:val="00456CA9"/>
    <w:rsid w:val="004617E8"/>
    <w:rsid w:val="00463601"/>
    <w:rsid w:val="00474787"/>
    <w:rsid w:val="00482DB8"/>
    <w:rsid w:val="004856A4"/>
    <w:rsid w:val="004861F9"/>
    <w:rsid w:val="00486608"/>
    <w:rsid w:val="004906B2"/>
    <w:rsid w:val="00491FF2"/>
    <w:rsid w:val="004943EA"/>
    <w:rsid w:val="00495B94"/>
    <w:rsid w:val="00496F3C"/>
    <w:rsid w:val="00497A16"/>
    <w:rsid w:val="00497A66"/>
    <w:rsid w:val="004A1606"/>
    <w:rsid w:val="004A1BC8"/>
    <w:rsid w:val="004A676C"/>
    <w:rsid w:val="004A76C2"/>
    <w:rsid w:val="004B5FC3"/>
    <w:rsid w:val="004C0297"/>
    <w:rsid w:val="004C237D"/>
    <w:rsid w:val="004C6041"/>
    <w:rsid w:val="004D0BB5"/>
    <w:rsid w:val="004D39AF"/>
    <w:rsid w:val="004D64C2"/>
    <w:rsid w:val="004D7ABC"/>
    <w:rsid w:val="004E2536"/>
    <w:rsid w:val="004E6990"/>
    <w:rsid w:val="004F0FD7"/>
    <w:rsid w:val="004F10EE"/>
    <w:rsid w:val="004F1634"/>
    <w:rsid w:val="004F46BC"/>
    <w:rsid w:val="004F59E9"/>
    <w:rsid w:val="0051017A"/>
    <w:rsid w:val="0051249A"/>
    <w:rsid w:val="005127E3"/>
    <w:rsid w:val="005165F8"/>
    <w:rsid w:val="005241FB"/>
    <w:rsid w:val="00530BF1"/>
    <w:rsid w:val="00532C43"/>
    <w:rsid w:val="00533605"/>
    <w:rsid w:val="005357B4"/>
    <w:rsid w:val="005371DB"/>
    <w:rsid w:val="00544444"/>
    <w:rsid w:val="00544B05"/>
    <w:rsid w:val="00545439"/>
    <w:rsid w:val="005521F5"/>
    <w:rsid w:val="00553B14"/>
    <w:rsid w:val="00557FBD"/>
    <w:rsid w:val="00560A97"/>
    <w:rsid w:val="00561FA8"/>
    <w:rsid w:val="00565834"/>
    <w:rsid w:val="00565F78"/>
    <w:rsid w:val="00566649"/>
    <w:rsid w:val="00571C5F"/>
    <w:rsid w:val="00573077"/>
    <w:rsid w:val="00581509"/>
    <w:rsid w:val="005924F7"/>
    <w:rsid w:val="00593439"/>
    <w:rsid w:val="00593653"/>
    <w:rsid w:val="00597DEC"/>
    <w:rsid w:val="005A21E7"/>
    <w:rsid w:val="005A4324"/>
    <w:rsid w:val="005A6E4A"/>
    <w:rsid w:val="005A7939"/>
    <w:rsid w:val="005D2870"/>
    <w:rsid w:val="005D7584"/>
    <w:rsid w:val="005E1A02"/>
    <w:rsid w:val="005E4B6A"/>
    <w:rsid w:val="005F3861"/>
    <w:rsid w:val="005F3D13"/>
    <w:rsid w:val="00605521"/>
    <w:rsid w:val="00606E40"/>
    <w:rsid w:val="00616BC4"/>
    <w:rsid w:val="00622096"/>
    <w:rsid w:val="00623414"/>
    <w:rsid w:val="00624471"/>
    <w:rsid w:val="00625D46"/>
    <w:rsid w:val="00631D60"/>
    <w:rsid w:val="00632D9C"/>
    <w:rsid w:val="00632F1D"/>
    <w:rsid w:val="00632FBE"/>
    <w:rsid w:val="00634ADB"/>
    <w:rsid w:val="00634CE5"/>
    <w:rsid w:val="00635CCC"/>
    <w:rsid w:val="00641BB1"/>
    <w:rsid w:val="00641D36"/>
    <w:rsid w:val="00646B1A"/>
    <w:rsid w:val="00647DA1"/>
    <w:rsid w:val="00652C22"/>
    <w:rsid w:val="00653169"/>
    <w:rsid w:val="006533BC"/>
    <w:rsid w:val="006541E9"/>
    <w:rsid w:val="00660CF0"/>
    <w:rsid w:val="00663BC7"/>
    <w:rsid w:val="0066530D"/>
    <w:rsid w:val="00666A44"/>
    <w:rsid w:val="0066794C"/>
    <w:rsid w:val="006700F3"/>
    <w:rsid w:val="00670AEA"/>
    <w:rsid w:val="0067146D"/>
    <w:rsid w:val="00673CDB"/>
    <w:rsid w:val="00674489"/>
    <w:rsid w:val="00675F61"/>
    <w:rsid w:val="00677F79"/>
    <w:rsid w:val="00683A96"/>
    <w:rsid w:val="00684A21"/>
    <w:rsid w:val="0069243D"/>
    <w:rsid w:val="0069348D"/>
    <w:rsid w:val="00695199"/>
    <w:rsid w:val="00697A0B"/>
    <w:rsid w:val="006A12B4"/>
    <w:rsid w:val="006A324B"/>
    <w:rsid w:val="006A3989"/>
    <w:rsid w:val="006B3439"/>
    <w:rsid w:val="006B375F"/>
    <w:rsid w:val="006B700D"/>
    <w:rsid w:val="006B7299"/>
    <w:rsid w:val="006C0BC7"/>
    <w:rsid w:val="006C6C5B"/>
    <w:rsid w:val="006D0A1C"/>
    <w:rsid w:val="006D1F79"/>
    <w:rsid w:val="006D76EF"/>
    <w:rsid w:val="006E109D"/>
    <w:rsid w:val="006E705F"/>
    <w:rsid w:val="006E725B"/>
    <w:rsid w:val="006F016E"/>
    <w:rsid w:val="006F1BAC"/>
    <w:rsid w:val="006F1EFB"/>
    <w:rsid w:val="006F2A42"/>
    <w:rsid w:val="006F5E5D"/>
    <w:rsid w:val="0070107B"/>
    <w:rsid w:val="007019D2"/>
    <w:rsid w:val="007025B7"/>
    <w:rsid w:val="00705325"/>
    <w:rsid w:val="00707253"/>
    <w:rsid w:val="0071031A"/>
    <w:rsid w:val="0071478E"/>
    <w:rsid w:val="0071533D"/>
    <w:rsid w:val="00717D74"/>
    <w:rsid w:val="00721C17"/>
    <w:rsid w:val="007314A0"/>
    <w:rsid w:val="007327C9"/>
    <w:rsid w:val="0073453C"/>
    <w:rsid w:val="00735E1A"/>
    <w:rsid w:val="00740A7F"/>
    <w:rsid w:val="0074471A"/>
    <w:rsid w:val="00745740"/>
    <w:rsid w:val="00745870"/>
    <w:rsid w:val="0075017A"/>
    <w:rsid w:val="00750BEF"/>
    <w:rsid w:val="0075464F"/>
    <w:rsid w:val="00754EB0"/>
    <w:rsid w:val="00756FF6"/>
    <w:rsid w:val="007627E3"/>
    <w:rsid w:val="00764494"/>
    <w:rsid w:val="00764A0A"/>
    <w:rsid w:val="007651C6"/>
    <w:rsid w:val="00770C09"/>
    <w:rsid w:val="007774B0"/>
    <w:rsid w:val="0078032A"/>
    <w:rsid w:val="007803C2"/>
    <w:rsid w:val="007813A0"/>
    <w:rsid w:val="00784EEC"/>
    <w:rsid w:val="00786479"/>
    <w:rsid w:val="007A1434"/>
    <w:rsid w:val="007A25F4"/>
    <w:rsid w:val="007A48E7"/>
    <w:rsid w:val="007A57BE"/>
    <w:rsid w:val="007A74B3"/>
    <w:rsid w:val="007A79E1"/>
    <w:rsid w:val="007B1EF3"/>
    <w:rsid w:val="007B2AFF"/>
    <w:rsid w:val="007B3F2A"/>
    <w:rsid w:val="007B799F"/>
    <w:rsid w:val="007C2C12"/>
    <w:rsid w:val="007C2DE4"/>
    <w:rsid w:val="007C3846"/>
    <w:rsid w:val="007C666D"/>
    <w:rsid w:val="007D072E"/>
    <w:rsid w:val="007D0BBA"/>
    <w:rsid w:val="007D44F5"/>
    <w:rsid w:val="007D57AD"/>
    <w:rsid w:val="007D7B40"/>
    <w:rsid w:val="007E14BA"/>
    <w:rsid w:val="007E1A70"/>
    <w:rsid w:val="007F16EB"/>
    <w:rsid w:val="007F2E97"/>
    <w:rsid w:val="007F6705"/>
    <w:rsid w:val="008008AC"/>
    <w:rsid w:val="00804840"/>
    <w:rsid w:val="0080486A"/>
    <w:rsid w:val="008071A7"/>
    <w:rsid w:val="00807307"/>
    <w:rsid w:val="008079B7"/>
    <w:rsid w:val="0081049F"/>
    <w:rsid w:val="00814909"/>
    <w:rsid w:val="008149B7"/>
    <w:rsid w:val="00815182"/>
    <w:rsid w:val="0082238F"/>
    <w:rsid w:val="0082490B"/>
    <w:rsid w:val="00824A06"/>
    <w:rsid w:val="00824DFE"/>
    <w:rsid w:val="00825E7D"/>
    <w:rsid w:val="00826DD8"/>
    <w:rsid w:val="00835FFB"/>
    <w:rsid w:val="00837A60"/>
    <w:rsid w:val="00843CBD"/>
    <w:rsid w:val="008440E2"/>
    <w:rsid w:val="008478E4"/>
    <w:rsid w:val="0085042F"/>
    <w:rsid w:val="00851542"/>
    <w:rsid w:val="00853530"/>
    <w:rsid w:val="00854EC8"/>
    <w:rsid w:val="00854F42"/>
    <w:rsid w:val="00856E15"/>
    <w:rsid w:val="00857758"/>
    <w:rsid w:val="00862420"/>
    <w:rsid w:val="00866C4C"/>
    <w:rsid w:val="00870E27"/>
    <w:rsid w:val="008715A2"/>
    <w:rsid w:val="00872049"/>
    <w:rsid w:val="0087304E"/>
    <w:rsid w:val="008741BA"/>
    <w:rsid w:val="0087446B"/>
    <w:rsid w:val="00882E3A"/>
    <w:rsid w:val="00884398"/>
    <w:rsid w:val="008846EC"/>
    <w:rsid w:val="00885F45"/>
    <w:rsid w:val="00890023"/>
    <w:rsid w:val="00893853"/>
    <w:rsid w:val="008A0742"/>
    <w:rsid w:val="008A15A1"/>
    <w:rsid w:val="008A403D"/>
    <w:rsid w:val="008A5D08"/>
    <w:rsid w:val="008B3264"/>
    <w:rsid w:val="008B3EDF"/>
    <w:rsid w:val="008B4E59"/>
    <w:rsid w:val="008B6578"/>
    <w:rsid w:val="008B6B56"/>
    <w:rsid w:val="008B7E82"/>
    <w:rsid w:val="008C25FB"/>
    <w:rsid w:val="008C3803"/>
    <w:rsid w:val="008C5B82"/>
    <w:rsid w:val="008D0374"/>
    <w:rsid w:val="008D0A88"/>
    <w:rsid w:val="008D6993"/>
    <w:rsid w:val="008E40D5"/>
    <w:rsid w:val="008F313A"/>
    <w:rsid w:val="008F419E"/>
    <w:rsid w:val="008F5066"/>
    <w:rsid w:val="008F7200"/>
    <w:rsid w:val="00901D29"/>
    <w:rsid w:val="0091045F"/>
    <w:rsid w:val="00912334"/>
    <w:rsid w:val="00912C0D"/>
    <w:rsid w:val="00914862"/>
    <w:rsid w:val="00914D6D"/>
    <w:rsid w:val="009203BF"/>
    <w:rsid w:val="00924342"/>
    <w:rsid w:val="009269B1"/>
    <w:rsid w:val="00930A4C"/>
    <w:rsid w:val="00932714"/>
    <w:rsid w:val="0093577F"/>
    <w:rsid w:val="009376BD"/>
    <w:rsid w:val="0094300D"/>
    <w:rsid w:val="00943729"/>
    <w:rsid w:val="00943C48"/>
    <w:rsid w:val="00945560"/>
    <w:rsid w:val="00945DFD"/>
    <w:rsid w:val="00955C83"/>
    <w:rsid w:val="00961FC6"/>
    <w:rsid w:val="009645C9"/>
    <w:rsid w:val="00966847"/>
    <w:rsid w:val="0097334A"/>
    <w:rsid w:val="009814A0"/>
    <w:rsid w:val="00982AEA"/>
    <w:rsid w:val="00982BB1"/>
    <w:rsid w:val="009830ED"/>
    <w:rsid w:val="00984A03"/>
    <w:rsid w:val="0099184A"/>
    <w:rsid w:val="009926C8"/>
    <w:rsid w:val="009948D2"/>
    <w:rsid w:val="00994A8B"/>
    <w:rsid w:val="0099675D"/>
    <w:rsid w:val="00997852"/>
    <w:rsid w:val="009A2BE8"/>
    <w:rsid w:val="009A2EB3"/>
    <w:rsid w:val="009A401D"/>
    <w:rsid w:val="009A72A3"/>
    <w:rsid w:val="009B6690"/>
    <w:rsid w:val="009C3958"/>
    <w:rsid w:val="009D0248"/>
    <w:rsid w:val="009D2A5C"/>
    <w:rsid w:val="009D4FFF"/>
    <w:rsid w:val="009D51AA"/>
    <w:rsid w:val="009D5822"/>
    <w:rsid w:val="009D6DA1"/>
    <w:rsid w:val="009E29F2"/>
    <w:rsid w:val="009E5658"/>
    <w:rsid w:val="009E6501"/>
    <w:rsid w:val="009E75C2"/>
    <w:rsid w:val="009F13CB"/>
    <w:rsid w:val="009F21CF"/>
    <w:rsid w:val="009F2F81"/>
    <w:rsid w:val="009F409D"/>
    <w:rsid w:val="009F42C3"/>
    <w:rsid w:val="009F60EB"/>
    <w:rsid w:val="009F73CF"/>
    <w:rsid w:val="009F7976"/>
    <w:rsid w:val="00A03F59"/>
    <w:rsid w:val="00A12F10"/>
    <w:rsid w:val="00A130F2"/>
    <w:rsid w:val="00A13903"/>
    <w:rsid w:val="00A15D27"/>
    <w:rsid w:val="00A16C33"/>
    <w:rsid w:val="00A177C0"/>
    <w:rsid w:val="00A17CEE"/>
    <w:rsid w:val="00A202D8"/>
    <w:rsid w:val="00A22FEE"/>
    <w:rsid w:val="00A25125"/>
    <w:rsid w:val="00A2516E"/>
    <w:rsid w:val="00A25D5F"/>
    <w:rsid w:val="00A27BAF"/>
    <w:rsid w:val="00A339BE"/>
    <w:rsid w:val="00A3471D"/>
    <w:rsid w:val="00A3564B"/>
    <w:rsid w:val="00A37F70"/>
    <w:rsid w:val="00A40E9D"/>
    <w:rsid w:val="00A41D56"/>
    <w:rsid w:val="00A46BB3"/>
    <w:rsid w:val="00A51A38"/>
    <w:rsid w:val="00A52DE8"/>
    <w:rsid w:val="00A569C8"/>
    <w:rsid w:val="00A61D7F"/>
    <w:rsid w:val="00A6338D"/>
    <w:rsid w:val="00A676B4"/>
    <w:rsid w:val="00A71C74"/>
    <w:rsid w:val="00A74D5D"/>
    <w:rsid w:val="00A756B7"/>
    <w:rsid w:val="00A77F4D"/>
    <w:rsid w:val="00A81909"/>
    <w:rsid w:val="00A83123"/>
    <w:rsid w:val="00A85287"/>
    <w:rsid w:val="00A8530C"/>
    <w:rsid w:val="00A87D69"/>
    <w:rsid w:val="00AA0A66"/>
    <w:rsid w:val="00AA1771"/>
    <w:rsid w:val="00AA22BD"/>
    <w:rsid w:val="00AB2830"/>
    <w:rsid w:val="00AB52BB"/>
    <w:rsid w:val="00AC2FF7"/>
    <w:rsid w:val="00AC352B"/>
    <w:rsid w:val="00AD594D"/>
    <w:rsid w:val="00AD596D"/>
    <w:rsid w:val="00AD59AB"/>
    <w:rsid w:val="00AE1CEB"/>
    <w:rsid w:val="00AE4903"/>
    <w:rsid w:val="00AE5A93"/>
    <w:rsid w:val="00AE7409"/>
    <w:rsid w:val="00AF0EAA"/>
    <w:rsid w:val="00AF7567"/>
    <w:rsid w:val="00B01238"/>
    <w:rsid w:val="00B029F6"/>
    <w:rsid w:val="00B057CE"/>
    <w:rsid w:val="00B06A96"/>
    <w:rsid w:val="00B11E21"/>
    <w:rsid w:val="00B12D64"/>
    <w:rsid w:val="00B12DCF"/>
    <w:rsid w:val="00B14955"/>
    <w:rsid w:val="00B14EF9"/>
    <w:rsid w:val="00B1679D"/>
    <w:rsid w:val="00B1731F"/>
    <w:rsid w:val="00B206CD"/>
    <w:rsid w:val="00B21453"/>
    <w:rsid w:val="00B26414"/>
    <w:rsid w:val="00B30120"/>
    <w:rsid w:val="00B302E7"/>
    <w:rsid w:val="00B31008"/>
    <w:rsid w:val="00B3521D"/>
    <w:rsid w:val="00B4312D"/>
    <w:rsid w:val="00B43FE5"/>
    <w:rsid w:val="00B4478C"/>
    <w:rsid w:val="00B46A12"/>
    <w:rsid w:val="00B47651"/>
    <w:rsid w:val="00B52D9F"/>
    <w:rsid w:val="00B5561B"/>
    <w:rsid w:val="00B55E44"/>
    <w:rsid w:val="00B60287"/>
    <w:rsid w:val="00B67920"/>
    <w:rsid w:val="00B67EC0"/>
    <w:rsid w:val="00B716DB"/>
    <w:rsid w:val="00B7399C"/>
    <w:rsid w:val="00B73D25"/>
    <w:rsid w:val="00B74A47"/>
    <w:rsid w:val="00B75551"/>
    <w:rsid w:val="00B75814"/>
    <w:rsid w:val="00B758E1"/>
    <w:rsid w:val="00B84911"/>
    <w:rsid w:val="00B8562A"/>
    <w:rsid w:val="00B86466"/>
    <w:rsid w:val="00B86829"/>
    <w:rsid w:val="00B877BB"/>
    <w:rsid w:val="00B904F7"/>
    <w:rsid w:val="00B909D5"/>
    <w:rsid w:val="00B911AC"/>
    <w:rsid w:val="00B915C1"/>
    <w:rsid w:val="00B926EB"/>
    <w:rsid w:val="00B940DB"/>
    <w:rsid w:val="00B94528"/>
    <w:rsid w:val="00B97040"/>
    <w:rsid w:val="00BA1BCE"/>
    <w:rsid w:val="00BA7D15"/>
    <w:rsid w:val="00BB0E5B"/>
    <w:rsid w:val="00BB2135"/>
    <w:rsid w:val="00BB3C1D"/>
    <w:rsid w:val="00BC1147"/>
    <w:rsid w:val="00BC12B7"/>
    <w:rsid w:val="00BC4742"/>
    <w:rsid w:val="00BC6384"/>
    <w:rsid w:val="00BD2D7C"/>
    <w:rsid w:val="00BD5783"/>
    <w:rsid w:val="00BD6513"/>
    <w:rsid w:val="00BD7D3E"/>
    <w:rsid w:val="00BE10CE"/>
    <w:rsid w:val="00BE25A0"/>
    <w:rsid w:val="00BE7BA4"/>
    <w:rsid w:val="00BF0769"/>
    <w:rsid w:val="00C000E7"/>
    <w:rsid w:val="00C022D8"/>
    <w:rsid w:val="00C05FF1"/>
    <w:rsid w:val="00C10D91"/>
    <w:rsid w:val="00C117EF"/>
    <w:rsid w:val="00C13C37"/>
    <w:rsid w:val="00C16080"/>
    <w:rsid w:val="00C17009"/>
    <w:rsid w:val="00C21852"/>
    <w:rsid w:val="00C21BCC"/>
    <w:rsid w:val="00C23BFD"/>
    <w:rsid w:val="00C23C69"/>
    <w:rsid w:val="00C24062"/>
    <w:rsid w:val="00C242CD"/>
    <w:rsid w:val="00C25411"/>
    <w:rsid w:val="00C27BE9"/>
    <w:rsid w:val="00C31F7E"/>
    <w:rsid w:val="00C3471A"/>
    <w:rsid w:val="00C36DF0"/>
    <w:rsid w:val="00C41B31"/>
    <w:rsid w:val="00C42451"/>
    <w:rsid w:val="00C43883"/>
    <w:rsid w:val="00C44380"/>
    <w:rsid w:val="00C46C3B"/>
    <w:rsid w:val="00C46CD0"/>
    <w:rsid w:val="00C47E8D"/>
    <w:rsid w:val="00C53AC9"/>
    <w:rsid w:val="00C54246"/>
    <w:rsid w:val="00C54D96"/>
    <w:rsid w:val="00C603B7"/>
    <w:rsid w:val="00C668D7"/>
    <w:rsid w:val="00C772BE"/>
    <w:rsid w:val="00C80E91"/>
    <w:rsid w:val="00C81739"/>
    <w:rsid w:val="00C865A2"/>
    <w:rsid w:val="00C9158E"/>
    <w:rsid w:val="00C93104"/>
    <w:rsid w:val="00C94642"/>
    <w:rsid w:val="00C94B87"/>
    <w:rsid w:val="00C94D50"/>
    <w:rsid w:val="00CA1484"/>
    <w:rsid w:val="00CA4E56"/>
    <w:rsid w:val="00CB092D"/>
    <w:rsid w:val="00CB1780"/>
    <w:rsid w:val="00CB3B8C"/>
    <w:rsid w:val="00CB5CE1"/>
    <w:rsid w:val="00CC5BDC"/>
    <w:rsid w:val="00CC701E"/>
    <w:rsid w:val="00CD0B2E"/>
    <w:rsid w:val="00CD3166"/>
    <w:rsid w:val="00CD3C37"/>
    <w:rsid w:val="00CD5B7C"/>
    <w:rsid w:val="00CE11B2"/>
    <w:rsid w:val="00CE1DE8"/>
    <w:rsid w:val="00CE71C4"/>
    <w:rsid w:val="00CF0A24"/>
    <w:rsid w:val="00CF2B6C"/>
    <w:rsid w:val="00CF42A4"/>
    <w:rsid w:val="00CF52FC"/>
    <w:rsid w:val="00CF6281"/>
    <w:rsid w:val="00CF65E0"/>
    <w:rsid w:val="00D01C04"/>
    <w:rsid w:val="00D045D0"/>
    <w:rsid w:val="00D117C3"/>
    <w:rsid w:val="00D125A6"/>
    <w:rsid w:val="00D16395"/>
    <w:rsid w:val="00D2036D"/>
    <w:rsid w:val="00D31990"/>
    <w:rsid w:val="00D36234"/>
    <w:rsid w:val="00D41785"/>
    <w:rsid w:val="00D418B6"/>
    <w:rsid w:val="00D46DB0"/>
    <w:rsid w:val="00D471F9"/>
    <w:rsid w:val="00D507DC"/>
    <w:rsid w:val="00D53260"/>
    <w:rsid w:val="00D53F8B"/>
    <w:rsid w:val="00D60314"/>
    <w:rsid w:val="00D61885"/>
    <w:rsid w:val="00D61B46"/>
    <w:rsid w:val="00D6216D"/>
    <w:rsid w:val="00D623C2"/>
    <w:rsid w:val="00D64BED"/>
    <w:rsid w:val="00D70429"/>
    <w:rsid w:val="00D73145"/>
    <w:rsid w:val="00D77592"/>
    <w:rsid w:val="00D81896"/>
    <w:rsid w:val="00D83A56"/>
    <w:rsid w:val="00D86FAB"/>
    <w:rsid w:val="00D9492C"/>
    <w:rsid w:val="00D972D0"/>
    <w:rsid w:val="00DA0F93"/>
    <w:rsid w:val="00DA1D8D"/>
    <w:rsid w:val="00DA4549"/>
    <w:rsid w:val="00DA7CFC"/>
    <w:rsid w:val="00DB1750"/>
    <w:rsid w:val="00DB43DE"/>
    <w:rsid w:val="00DB476A"/>
    <w:rsid w:val="00DB5594"/>
    <w:rsid w:val="00DB5950"/>
    <w:rsid w:val="00DB7709"/>
    <w:rsid w:val="00DC11A4"/>
    <w:rsid w:val="00DD093E"/>
    <w:rsid w:val="00DD669D"/>
    <w:rsid w:val="00DE020B"/>
    <w:rsid w:val="00DE41FD"/>
    <w:rsid w:val="00DE5FFB"/>
    <w:rsid w:val="00DE6266"/>
    <w:rsid w:val="00DF0A6E"/>
    <w:rsid w:val="00DF22AB"/>
    <w:rsid w:val="00DF30B4"/>
    <w:rsid w:val="00DF5E85"/>
    <w:rsid w:val="00DF73B9"/>
    <w:rsid w:val="00E0262E"/>
    <w:rsid w:val="00E04811"/>
    <w:rsid w:val="00E04B5A"/>
    <w:rsid w:val="00E07AE6"/>
    <w:rsid w:val="00E1249B"/>
    <w:rsid w:val="00E12505"/>
    <w:rsid w:val="00E13D3C"/>
    <w:rsid w:val="00E161C4"/>
    <w:rsid w:val="00E17E0E"/>
    <w:rsid w:val="00E21D04"/>
    <w:rsid w:val="00E2559C"/>
    <w:rsid w:val="00E2747E"/>
    <w:rsid w:val="00E31468"/>
    <w:rsid w:val="00E32CAC"/>
    <w:rsid w:val="00E33E20"/>
    <w:rsid w:val="00E345B7"/>
    <w:rsid w:val="00E377CB"/>
    <w:rsid w:val="00E4038D"/>
    <w:rsid w:val="00E423A5"/>
    <w:rsid w:val="00E464DF"/>
    <w:rsid w:val="00E529A3"/>
    <w:rsid w:val="00E55B82"/>
    <w:rsid w:val="00E55F92"/>
    <w:rsid w:val="00E618C0"/>
    <w:rsid w:val="00E65ED7"/>
    <w:rsid w:val="00E704BB"/>
    <w:rsid w:val="00E706AA"/>
    <w:rsid w:val="00E70A7A"/>
    <w:rsid w:val="00E71097"/>
    <w:rsid w:val="00E718B8"/>
    <w:rsid w:val="00E72734"/>
    <w:rsid w:val="00E72D99"/>
    <w:rsid w:val="00E74AEF"/>
    <w:rsid w:val="00E76C6E"/>
    <w:rsid w:val="00E84A9B"/>
    <w:rsid w:val="00E92C0A"/>
    <w:rsid w:val="00E94012"/>
    <w:rsid w:val="00E940FF"/>
    <w:rsid w:val="00E94971"/>
    <w:rsid w:val="00EA55B3"/>
    <w:rsid w:val="00EA72A9"/>
    <w:rsid w:val="00EB0910"/>
    <w:rsid w:val="00EB13F9"/>
    <w:rsid w:val="00EB22CE"/>
    <w:rsid w:val="00EB5552"/>
    <w:rsid w:val="00EB5FD5"/>
    <w:rsid w:val="00EB5FEC"/>
    <w:rsid w:val="00EC30CE"/>
    <w:rsid w:val="00EC445E"/>
    <w:rsid w:val="00EC6A73"/>
    <w:rsid w:val="00ED02CF"/>
    <w:rsid w:val="00ED04B9"/>
    <w:rsid w:val="00ED0E56"/>
    <w:rsid w:val="00ED354C"/>
    <w:rsid w:val="00ED4586"/>
    <w:rsid w:val="00ED6AF0"/>
    <w:rsid w:val="00ED6DE0"/>
    <w:rsid w:val="00EE2509"/>
    <w:rsid w:val="00EE4F15"/>
    <w:rsid w:val="00EE53C9"/>
    <w:rsid w:val="00EF0F21"/>
    <w:rsid w:val="00EF107B"/>
    <w:rsid w:val="00EF10D5"/>
    <w:rsid w:val="00EF36A2"/>
    <w:rsid w:val="00EF4B74"/>
    <w:rsid w:val="00EF5297"/>
    <w:rsid w:val="00F024C9"/>
    <w:rsid w:val="00F03B67"/>
    <w:rsid w:val="00F11927"/>
    <w:rsid w:val="00F12C0A"/>
    <w:rsid w:val="00F13C2F"/>
    <w:rsid w:val="00F149D2"/>
    <w:rsid w:val="00F15D0A"/>
    <w:rsid w:val="00F17850"/>
    <w:rsid w:val="00F30748"/>
    <w:rsid w:val="00F30C4B"/>
    <w:rsid w:val="00F369C7"/>
    <w:rsid w:val="00F40438"/>
    <w:rsid w:val="00F4218A"/>
    <w:rsid w:val="00F42344"/>
    <w:rsid w:val="00F42F37"/>
    <w:rsid w:val="00F437E7"/>
    <w:rsid w:val="00F439C7"/>
    <w:rsid w:val="00F46D83"/>
    <w:rsid w:val="00F50142"/>
    <w:rsid w:val="00F52076"/>
    <w:rsid w:val="00F52847"/>
    <w:rsid w:val="00F55214"/>
    <w:rsid w:val="00F55B90"/>
    <w:rsid w:val="00F56B71"/>
    <w:rsid w:val="00F57714"/>
    <w:rsid w:val="00F57E9F"/>
    <w:rsid w:val="00F70DC7"/>
    <w:rsid w:val="00F73E31"/>
    <w:rsid w:val="00F757F4"/>
    <w:rsid w:val="00F820B0"/>
    <w:rsid w:val="00F84121"/>
    <w:rsid w:val="00F84DD0"/>
    <w:rsid w:val="00F877C1"/>
    <w:rsid w:val="00F94E87"/>
    <w:rsid w:val="00FA0708"/>
    <w:rsid w:val="00FA0B67"/>
    <w:rsid w:val="00FA67EF"/>
    <w:rsid w:val="00FA72E5"/>
    <w:rsid w:val="00FA75F0"/>
    <w:rsid w:val="00FB0476"/>
    <w:rsid w:val="00FB1B24"/>
    <w:rsid w:val="00FB6591"/>
    <w:rsid w:val="00FB74CB"/>
    <w:rsid w:val="00FC0BFB"/>
    <w:rsid w:val="00FC0E3A"/>
    <w:rsid w:val="00FC2A9C"/>
    <w:rsid w:val="00FC52CE"/>
    <w:rsid w:val="00FC63B1"/>
    <w:rsid w:val="00FD04C8"/>
    <w:rsid w:val="00FD22C8"/>
    <w:rsid w:val="00FD264E"/>
    <w:rsid w:val="00FD2950"/>
    <w:rsid w:val="00FD3CFD"/>
    <w:rsid w:val="00FD643C"/>
    <w:rsid w:val="00FE18D4"/>
    <w:rsid w:val="00FF0C55"/>
    <w:rsid w:val="00FF2EDC"/>
    <w:rsid w:val="00FF4871"/>
    <w:rsid w:val="00FF5272"/>
    <w:rsid w:val="00FF75B4"/>
    <w:rsid w:val="00FF77B4"/>
    <w:rsid w:val="6093A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E0771D"/>
  <w15:docId w15:val="{435A01ED-8D99-4560-90EE-93296263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7758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qFormat/>
    <w:rsid w:val="007019D2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aliases w:val="(1)"/>
    <w:basedOn w:val="Normal"/>
    <w:next w:val="Normal"/>
    <w:link w:val="Heading2Char"/>
    <w:uiPriority w:val="9"/>
    <w:qFormat/>
    <w:rsid w:val="007019D2"/>
    <w:pPr>
      <w:keepNext/>
      <w:numPr>
        <w:ilvl w:val="1"/>
        <w:numId w:val="3"/>
      </w:numPr>
      <w:spacing w:after="120"/>
      <w:outlineLvl w:val="1"/>
    </w:pPr>
    <w:rPr>
      <w:b/>
      <w:sz w:val="36"/>
    </w:rPr>
  </w:style>
  <w:style w:type="paragraph" w:styleId="Heading3">
    <w:name w:val="heading 3"/>
    <w:aliases w:val="(1.1)"/>
    <w:basedOn w:val="Normal"/>
    <w:next w:val="Normal"/>
    <w:link w:val="Heading3Char"/>
    <w:uiPriority w:val="99"/>
    <w:qFormat/>
    <w:rsid w:val="007019D2"/>
    <w:pPr>
      <w:keepNext/>
      <w:numPr>
        <w:ilvl w:val="2"/>
        <w:numId w:val="3"/>
      </w:numPr>
      <w:spacing w:after="100"/>
      <w:outlineLvl w:val="2"/>
    </w:pPr>
    <w:rPr>
      <w:b/>
      <w:sz w:val="32"/>
    </w:rPr>
  </w:style>
  <w:style w:type="paragraph" w:styleId="Heading4">
    <w:name w:val="heading 4"/>
    <w:aliases w:val="(1.1.1)"/>
    <w:basedOn w:val="Normal"/>
    <w:next w:val="Normal"/>
    <w:qFormat/>
    <w:rsid w:val="007019D2"/>
    <w:pPr>
      <w:keepNext/>
      <w:numPr>
        <w:ilvl w:val="3"/>
        <w:numId w:val="3"/>
      </w:numPr>
      <w:spacing w:after="80"/>
      <w:outlineLvl w:val="3"/>
    </w:pPr>
    <w:rPr>
      <w:b/>
    </w:rPr>
  </w:style>
  <w:style w:type="paragraph" w:styleId="Heading5">
    <w:name w:val="heading 5"/>
    <w:aliases w:val="(1.1.1.1)"/>
    <w:basedOn w:val="Normal"/>
    <w:next w:val="Normal"/>
    <w:qFormat/>
    <w:rsid w:val="007019D2"/>
    <w:pPr>
      <w:keepNext/>
      <w:numPr>
        <w:ilvl w:val="4"/>
        <w:numId w:val="3"/>
      </w:numPr>
      <w:spacing w:after="60"/>
      <w:outlineLvl w:val="4"/>
    </w:pPr>
    <w:rPr>
      <w:b/>
    </w:rPr>
  </w:style>
  <w:style w:type="paragraph" w:styleId="Heading6">
    <w:name w:val="heading 6"/>
    <w:aliases w:val="(1.1.1.1.1)"/>
    <w:basedOn w:val="Normal"/>
    <w:next w:val="Normal"/>
    <w:qFormat/>
    <w:rsid w:val="007019D2"/>
    <w:pPr>
      <w:keepNext/>
      <w:numPr>
        <w:ilvl w:val="5"/>
        <w:numId w:val="3"/>
      </w:numPr>
      <w:spacing w:after="4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C30CE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EC30CE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C30CE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581509"/>
    <w:rPr>
      <w:sz w:val="24"/>
    </w:rPr>
  </w:style>
  <w:style w:type="character" w:styleId="FootnoteReference">
    <w:name w:val="footnote reference"/>
    <w:rsid w:val="00581509"/>
    <w:rPr>
      <w:vertAlign w:val="superscript"/>
    </w:rPr>
  </w:style>
  <w:style w:type="paragraph" w:styleId="EndnoteText">
    <w:name w:val="endnote text"/>
    <w:basedOn w:val="Normal"/>
    <w:link w:val="EndnoteTextChar"/>
    <w:rsid w:val="00B14955"/>
    <w:rPr>
      <w:sz w:val="24"/>
    </w:rPr>
  </w:style>
  <w:style w:type="paragraph" w:styleId="Quote">
    <w:name w:val="Quote"/>
    <w:basedOn w:val="Normal"/>
    <w:qFormat/>
    <w:rsid w:val="007019D2"/>
    <w:pPr>
      <w:ind w:left="794" w:right="794"/>
    </w:pPr>
  </w:style>
  <w:style w:type="paragraph" w:styleId="Caption">
    <w:name w:val="caption"/>
    <w:basedOn w:val="Normal"/>
    <w:next w:val="Normal"/>
    <w:qFormat/>
    <w:rsid w:val="00EA55B3"/>
    <w:rPr>
      <w:b/>
      <w:bCs/>
    </w:rPr>
  </w:style>
  <w:style w:type="paragraph" w:styleId="ListBullet">
    <w:name w:val="List Bullet"/>
    <w:basedOn w:val="Normal"/>
    <w:link w:val="ListBulletChar"/>
    <w:rsid w:val="007019D2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rsid w:val="007019D2"/>
    <w:pPr>
      <w:numPr>
        <w:numId w:val="2"/>
      </w:numPr>
      <w:tabs>
        <w:tab w:val="left" w:pos="851"/>
      </w:tabs>
    </w:pPr>
  </w:style>
  <w:style w:type="paragraph" w:styleId="TableofFigures">
    <w:name w:val="table of figures"/>
    <w:basedOn w:val="Normal"/>
    <w:next w:val="Normal"/>
    <w:semiHidden/>
    <w:rsid w:val="00F52847"/>
  </w:style>
  <w:style w:type="character" w:styleId="EndnoteReference">
    <w:name w:val="endnote reference"/>
    <w:rsid w:val="00B14955"/>
    <w:rPr>
      <w:vertAlign w:val="superscript"/>
    </w:rPr>
  </w:style>
  <w:style w:type="paragraph" w:customStyle="1" w:styleId="Heading20">
    <w:name w:val="Heading  2"/>
    <w:basedOn w:val="Heading2"/>
    <w:next w:val="Normal"/>
    <w:rsid w:val="002B406E"/>
    <w:pPr>
      <w:numPr>
        <w:ilvl w:val="0"/>
        <w:numId w:val="0"/>
      </w:numPr>
    </w:pPr>
  </w:style>
  <w:style w:type="paragraph" w:customStyle="1" w:styleId="Heading30">
    <w:name w:val="Heading  3"/>
    <w:basedOn w:val="Heading3"/>
    <w:next w:val="Normal"/>
    <w:rsid w:val="002B406E"/>
    <w:pPr>
      <w:numPr>
        <w:ilvl w:val="0"/>
        <w:numId w:val="0"/>
      </w:numPr>
    </w:pPr>
  </w:style>
  <w:style w:type="paragraph" w:customStyle="1" w:styleId="Heading40">
    <w:name w:val="Heading  4"/>
    <w:basedOn w:val="Heading4"/>
    <w:next w:val="Normal"/>
    <w:rsid w:val="002B406E"/>
    <w:pPr>
      <w:numPr>
        <w:ilvl w:val="0"/>
        <w:numId w:val="0"/>
      </w:numPr>
    </w:pPr>
  </w:style>
  <w:style w:type="paragraph" w:customStyle="1" w:styleId="Heading50">
    <w:name w:val="Heading  5"/>
    <w:basedOn w:val="Heading5"/>
    <w:next w:val="Normal"/>
    <w:rsid w:val="002B406E"/>
    <w:pPr>
      <w:numPr>
        <w:ilvl w:val="0"/>
        <w:numId w:val="0"/>
      </w:numPr>
    </w:pPr>
  </w:style>
  <w:style w:type="paragraph" w:customStyle="1" w:styleId="Heading60">
    <w:name w:val="Heading  6"/>
    <w:basedOn w:val="Heading6"/>
    <w:next w:val="Normal"/>
    <w:rsid w:val="00DF5E85"/>
    <w:pPr>
      <w:numPr>
        <w:ilvl w:val="0"/>
        <w:numId w:val="0"/>
      </w:numPr>
    </w:pPr>
  </w:style>
  <w:style w:type="paragraph" w:customStyle="1" w:styleId="Heading10">
    <w:name w:val="Heading  1"/>
    <w:basedOn w:val="Heading1"/>
    <w:next w:val="Normal"/>
    <w:rsid w:val="009F60EB"/>
  </w:style>
  <w:style w:type="character" w:customStyle="1" w:styleId="Heading2Char">
    <w:name w:val="Heading 2 Char"/>
    <w:aliases w:val="(1) Char"/>
    <w:link w:val="Heading2"/>
    <w:uiPriority w:val="9"/>
    <w:rsid w:val="00857758"/>
    <w:rPr>
      <w:rFonts w:ascii="Arial" w:hAnsi="Arial"/>
      <w:b/>
      <w:sz w:val="36"/>
    </w:rPr>
  </w:style>
  <w:style w:type="character" w:customStyle="1" w:styleId="Heading3Char">
    <w:name w:val="Heading 3 Char"/>
    <w:aliases w:val="(1.1) Char"/>
    <w:link w:val="Heading3"/>
    <w:uiPriority w:val="99"/>
    <w:rsid w:val="00857758"/>
    <w:rPr>
      <w:rFonts w:ascii="Arial" w:hAnsi="Arial"/>
      <w:b/>
      <w:sz w:val="32"/>
    </w:rPr>
  </w:style>
  <w:style w:type="character" w:customStyle="1" w:styleId="ListBulletChar">
    <w:name w:val="List Bullet Char"/>
    <w:link w:val="ListBullet"/>
    <w:locked/>
    <w:rsid w:val="00857758"/>
    <w:rPr>
      <w:rFonts w:ascii="Arial" w:hAnsi="Arial"/>
      <w:sz w:val="28"/>
    </w:rPr>
  </w:style>
  <w:style w:type="table" w:styleId="TableGrid">
    <w:name w:val="Table Grid"/>
    <w:basedOn w:val="TableNormal"/>
    <w:rsid w:val="008577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07A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7AE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TMLCite">
    <w:name w:val="HTML Cite"/>
    <w:uiPriority w:val="99"/>
    <w:unhideWhenUsed/>
    <w:rsid w:val="00E07AE6"/>
    <w:rPr>
      <w:i/>
      <w:iCs/>
    </w:rPr>
  </w:style>
  <w:style w:type="character" w:customStyle="1" w:styleId="highlight">
    <w:name w:val="highlight"/>
    <w:rsid w:val="00E07AE6"/>
  </w:style>
  <w:style w:type="table" w:customStyle="1" w:styleId="TableGrid1">
    <w:name w:val="Table Grid1"/>
    <w:basedOn w:val="TableNormal"/>
    <w:next w:val="TableGrid"/>
    <w:rsid w:val="00382D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97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7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E57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E57E1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3E57E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E57E1"/>
    <w:rPr>
      <w:rFonts w:ascii="Arial" w:hAnsi="Arial"/>
      <w:sz w:val="28"/>
    </w:rPr>
  </w:style>
  <w:style w:type="character" w:customStyle="1" w:styleId="EndnoteTextChar">
    <w:name w:val="Endnote Text Char"/>
    <w:link w:val="EndnoteText"/>
    <w:rsid w:val="008B3EDF"/>
    <w:rPr>
      <w:rFonts w:ascii="Arial" w:hAnsi="Arial"/>
      <w:sz w:val="24"/>
    </w:rPr>
  </w:style>
  <w:style w:type="character" w:customStyle="1" w:styleId="A2">
    <w:name w:val="A2"/>
    <w:uiPriority w:val="99"/>
    <w:rsid w:val="008B3EDF"/>
    <w:rPr>
      <w:rFonts w:cs="Tondo"/>
      <w:color w:val="000000"/>
      <w:sz w:val="26"/>
      <w:szCs w:val="26"/>
    </w:rPr>
  </w:style>
  <w:style w:type="character" w:styleId="Emphasis">
    <w:name w:val="Emphasis"/>
    <w:uiPriority w:val="20"/>
    <w:qFormat/>
    <w:rsid w:val="008B3EDF"/>
    <w:rPr>
      <w:i/>
      <w:iCs/>
    </w:rPr>
  </w:style>
  <w:style w:type="character" w:customStyle="1" w:styleId="Heading1Char">
    <w:name w:val="Heading 1 Char"/>
    <w:link w:val="Heading1"/>
    <w:rsid w:val="00FC52CE"/>
    <w:rPr>
      <w:rFonts w:ascii="Arial" w:hAnsi="Arial"/>
      <w:b/>
      <w:kern w:val="32"/>
      <w:sz w:val="44"/>
    </w:rPr>
  </w:style>
  <w:style w:type="character" w:styleId="CommentReference">
    <w:name w:val="annotation reference"/>
    <w:rsid w:val="00930A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0A4C"/>
    <w:rPr>
      <w:sz w:val="20"/>
    </w:rPr>
  </w:style>
  <w:style w:type="character" w:customStyle="1" w:styleId="CommentTextChar">
    <w:name w:val="Comment Text Char"/>
    <w:link w:val="CommentText"/>
    <w:rsid w:val="00930A4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30A4C"/>
    <w:rPr>
      <w:b/>
      <w:bCs/>
    </w:rPr>
  </w:style>
  <w:style w:type="character" w:customStyle="1" w:styleId="CommentSubjectChar">
    <w:name w:val="Comment Subject Char"/>
    <w:link w:val="CommentSubject"/>
    <w:rsid w:val="00930A4C"/>
    <w:rPr>
      <w:rFonts w:ascii="Arial" w:hAnsi="Arial"/>
      <w:b/>
      <w:bCs/>
    </w:rPr>
  </w:style>
  <w:style w:type="character" w:styleId="Strong">
    <w:name w:val="Strong"/>
    <w:uiPriority w:val="22"/>
    <w:qFormat/>
    <w:rsid w:val="006C6C5B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6C6C5B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6C6C5B"/>
    <w:rPr>
      <w:rFonts w:ascii="Calibri" w:eastAsia="Calibri" w:hAnsi="Calibri"/>
      <w:sz w:val="22"/>
      <w:szCs w:val="21"/>
      <w:lang w:eastAsia="en-US"/>
    </w:rPr>
  </w:style>
  <w:style w:type="character" w:customStyle="1" w:styleId="FootnoteTextChar">
    <w:name w:val="Footnote Text Char"/>
    <w:link w:val="FootnoteText"/>
    <w:rsid w:val="00F94E87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B1750"/>
    <w:pPr>
      <w:ind w:left="720"/>
      <w:contextualSpacing/>
    </w:pPr>
    <w:rPr>
      <w:rFonts w:cs="Arial"/>
      <w:szCs w:val="24"/>
    </w:rPr>
  </w:style>
  <w:style w:type="character" w:styleId="FollowedHyperlink">
    <w:name w:val="FollowedHyperlink"/>
    <w:rsid w:val="00FD643C"/>
    <w:rPr>
      <w:color w:val="954F72"/>
      <w:u w:val="single"/>
    </w:rPr>
  </w:style>
  <w:style w:type="paragraph" w:styleId="Revision">
    <w:name w:val="Revision"/>
    <w:hidden/>
    <w:uiPriority w:val="99"/>
    <w:semiHidden/>
    <w:rsid w:val="00074F72"/>
    <w:rPr>
      <w:rFonts w:ascii="Arial" w:hAnsi="Arial"/>
      <w:sz w:val="28"/>
    </w:rPr>
  </w:style>
  <w:style w:type="paragraph" w:customStyle="1" w:styleId="Default">
    <w:name w:val="Default"/>
    <w:rsid w:val="00663BC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7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nib.org.uk/appginquir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nib.org.uk/appginquir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nib.org.uk/appginqui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nib.org.uk/appginquir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RENCH\AppData\Local\Microsoft\Windows\Temporary%20Internet%20Files\Content.Outlook\ANE2SZH4\RNIB_Report_writing%20(00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970168A53D7479B4520F3837FE300" ma:contentTypeVersion="10" ma:contentTypeDescription="Create a new document." ma:contentTypeScope="" ma:versionID="e14f50cccbb91869c166736b096ce50e">
  <xsd:schema xmlns:xsd="http://www.w3.org/2001/XMLSchema" xmlns:xs="http://www.w3.org/2001/XMLSchema" xmlns:p="http://schemas.microsoft.com/office/2006/metadata/properties" xmlns:ns1="http://schemas.microsoft.com/sharepoint/v3" xmlns:ns2="4a06fce1-e79f-455a-a885-b87b424c17e8" xmlns:ns3="3dff21ff-f64b-43b3-b7b8-11a0e7847d20" targetNamespace="http://schemas.microsoft.com/office/2006/metadata/properties" ma:root="true" ma:fieldsID="bccd84ffb74cd981515fda0775ebb4a6" ns1:_="" ns2:_="" ns3:_="">
    <xsd:import namespace="http://schemas.microsoft.com/sharepoint/v3"/>
    <xsd:import namespace="4a06fce1-e79f-455a-a885-b87b424c17e8"/>
    <xsd:import namespace="3dff21ff-f64b-43b3-b7b8-11a0e7847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6fce1-e79f-455a-a885-b87b424c1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f21ff-f64b-43b3-b7b8-11a0e7847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8920C-58A2-43C9-8718-19EFE8C6BE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2FAA0A-D90C-47B4-AE86-5D59C9957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06fce1-e79f-455a-a885-b87b424c17e8"/>
    <ds:schemaRef ds:uri="3dff21ff-f64b-43b3-b7b8-11a0e7847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46BED4-5C19-413A-AF56-5935232F06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CE4DFCD-2699-4D69-9005-23A3AD6A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RNIB_Report_writing (004).dot</Template>
  <TotalTime>1</TotalTime>
  <Pages>8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[RNIB Report format template]</vt:lpstr>
    </vt:vector>
  </TitlesOfParts>
  <Company>RNIB</Company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[RNIB Report format template]</dc:title>
  <dc:creator>AFRENCH</dc:creator>
  <cp:lastModifiedBy>Hughes, Lisa</cp:lastModifiedBy>
  <cp:revision>2</cp:revision>
  <cp:lastPrinted>2018-05-16T13:41:00Z</cp:lastPrinted>
  <dcterms:created xsi:type="dcterms:W3CDTF">2018-06-01T09:48:00Z</dcterms:created>
  <dcterms:modified xsi:type="dcterms:W3CDTF">2018-06-01T09:48:00Z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0x010100E29970168A53D7479B4520F3837FE300</vt:lpwstr>
  </property>
</Properties>
</file>